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5D34A" w14:textId="57133D5B" w:rsidR="00690C82" w:rsidRPr="00690C82" w:rsidRDefault="00544106" w:rsidP="00690C82">
      <w:pPr>
        <w:pStyle w:val="Heading1"/>
      </w:pPr>
      <w:r w:rsidRPr="00690C82">
        <w:t xml:space="preserve">ASD </w:t>
      </w:r>
      <w:r w:rsidR="00EA2100" w:rsidRPr="00690C82">
        <w:t>Specialty Healthcare, L</w:t>
      </w:r>
      <w:r w:rsidR="00EA2100">
        <w:t>LC</w:t>
      </w:r>
      <w:r w:rsidR="00EA2100" w:rsidRPr="00690C82">
        <w:t xml:space="preserve"> </w:t>
      </w:r>
      <w:r w:rsidR="00EA2100">
        <w:t>v</w:t>
      </w:r>
      <w:r w:rsidR="00EA2100" w:rsidRPr="00690C82">
        <w:t xml:space="preserve">. Parish </w:t>
      </w:r>
      <w:r w:rsidR="00EA2100">
        <w:t>o</w:t>
      </w:r>
      <w:r w:rsidR="00EA2100" w:rsidRPr="00690C82">
        <w:t xml:space="preserve">f Lincoln, </w:t>
      </w:r>
      <w:r w:rsidR="00EA2100">
        <w:t>e</w:t>
      </w:r>
      <w:r w:rsidR="00EA2100" w:rsidRPr="00690C82">
        <w:t xml:space="preserve">t. </w:t>
      </w:r>
      <w:r w:rsidR="00EA2100">
        <w:t>a</w:t>
      </w:r>
      <w:r w:rsidR="00EA2100" w:rsidRPr="00690C82">
        <w:t>l.,</w:t>
      </w:r>
    </w:p>
    <w:p w14:paraId="16E0B383" w14:textId="62FE30F0" w:rsidR="00690C82" w:rsidRPr="00690C82" w:rsidRDefault="00EA2100" w:rsidP="00690C82">
      <w:pPr>
        <w:ind w:firstLine="0"/>
        <w:rPr>
          <w:rFonts w:eastAsia="Calibri"/>
          <w:b/>
          <w:bCs/>
        </w:rPr>
      </w:pPr>
      <w:r w:rsidRPr="00690C82">
        <w:rPr>
          <w:rFonts w:eastAsia="Calibri"/>
          <w:b/>
          <w:bCs/>
        </w:rPr>
        <w:t>B.T.A. Docket No. L01861</w:t>
      </w:r>
    </w:p>
    <w:p w14:paraId="65B56A73" w14:textId="19B0D913" w:rsidR="00813E59" w:rsidRPr="00690C82" w:rsidRDefault="00EA2100" w:rsidP="00690C82">
      <w:pPr>
        <w:pStyle w:val="Heading2"/>
      </w:pPr>
      <w:r w:rsidRPr="00690C82">
        <w:t xml:space="preserve">Order </w:t>
      </w:r>
      <w:r>
        <w:t>o</w:t>
      </w:r>
      <w:r w:rsidRPr="00690C82">
        <w:t xml:space="preserve">n Motion </w:t>
      </w:r>
      <w:r>
        <w:t>t</w:t>
      </w:r>
      <w:r w:rsidRPr="00690C82">
        <w:t>o Compel</w:t>
      </w:r>
      <w:r w:rsidRPr="00690C82">
        <w:rPr>
          <w:rFonts w:eastAsia="Calibri"/>
        </w:rPr>
        <w:t xml:space="preserve"> </w:t>
      </w:r>
      <w:r>
        <w:t>a</w:t>
      </w:r>
      <w:r w:rsidRPr="00690C82">
        <w:t>nd Written Reasons</w:t>
      </w:r>
    </w:p>
    <w:p w14:paraId="4002E65E" w14:textId="00F025B7" w:rsidR="00813E59" w:rsidRPr="003C32E9" w:rsidRDefault="00690C82" w:rsidP="00690C82">
      <w:pPr>
        <w:rPr>
          <w:szCs w:val="24"/>
        </w:rPr>
      </w:pPr>
      <w:r w:rsidRPr="00690C82">
        <w:t>On February 12, 2026, this matter</w:t>
      </w:r>
      <w:r w:rsidR="00EA2100" w:rsidRPr="003C32E9">
        <w:rPr>
          <w:rStyle w:val="FootnoteReference"/>
          <w:rFonts w:ascii="Century Schoolbook" w:hAnsi="Century Schoolbook"/>
        </w:rPr>
        <w:footnoteReference w:id="1"/>
      </w:r>
      <w:r w:rsidR="00EA2100" w:rsidRPr="003C32E9">
        <w:t xml:space="preserve"> </w:t>
      </w:r>
      <w:r w:rsidRPr="00690C82">
        <w:t>came before the Board for hearing on the</w:t>
      </w:r>
      <w:r>
        <w:t xml:space="preserve"> </w:t>
      </w:r>
      <w:r w:rsidRPr="00690C82">
        <w:t>Motion to Compel Discovery filed by ASD Specialty Healthcare, LLC (“ASD”), with</w:t>
      </w:r>
      <w:r>
        <w:t xml:space="preserve"> </w:t>
      </w:r>
      <w:r w:rsidRPr="00690C82">
        <w:t>Local Tax Judge Francis J. “Jay” Lobrano presiding. Appearing before the Board</w:t>
      </w:r>
      <w:r>
        <w:t xml:space="preserve"> </w:t>
      </w:r>
      <w:r w:rsidRPr="00690C82">
        <w:t>were: Andre Burvant and Bill Backstrom, attorneys for ASD; Drew Talbot, attorney</w:t>
      </w:r>
      <w:r>
        <w:t xml:space="preserve"> </w:t>
      </w:r>
      <w:r w:rsidRPr="00690C82">
        <w:t>for the Lincoln Parish Sales and Use Tax Commission (“Lincoln”); and Sydnee Menou,</w:t>
      </w:r>
      <w:r>
        <w:t xml:space="preserve"> </w:t>
      </w:r>
      <w:r w:rsidRPr="00690C82">
        <w:t>attorney for the Louisiana Sales and Use Tax Commission for Remote Sellers (“RSC”).</w:t>
      </w:r>
      <w:r>
        <w:t xml:space="preserve"> </w:t>
      </w:r>
      <w:r w:rsidRPr="00690C82">
        <w:t>The Board now renders the following Order in accordance with the attached written</w:t>
      </w:r>
      <w:r>
        <w:t xml:space="preserve"> </w:t>
      </w:r>
      <w:r w:rsidRPr="00690C82">
        <w:t>reasons</w:t>
      </w:r>
      <w:r w:rsidR="00B94FE4" w:rsidRPr="003C32E9">
        <w:rPr>
          <w:szCs w:val="24"/>
        </w:rPr>
        <w:t xml:space="preserve">:  </w:t>
      </w:r>
    </w:p>
    <w:p w14:paraId="61A5F779" w14:textId="069AF4DD" w:rsidR="003C32E9" w:rsidRDefault="00690C82" w:rsidP="00690C82">
      <w:r>
        <w:t>I</w:t>
      </w:r>
      <w:r w:rsidRPr="00690C82">
        <w:t xml:space="preserve">t is </w:t>
      </w:r>
      <w:r>
        <w:t>O</w:t>
      </w:r>
      <w:r w:rsidRPr="00690C82">
        <w:t>rdered</w:t>
      </w:r>
      <w:r>
        <w:t xml:space="preserve"> </w:t>
      </w:r>
      <w:r w:rsidRPr="00690C82">
        <w:t>that the Motion to Compel is granted, but only if ASD</w:t>
      </w:r>
      <w:r>
        <w:t xml:space="preserve"> </w:t>
      </w:r>
      <w:r w:rsidRPr="00690C82">
        <w:t>obtains a written waiver and consent from North Louisiana Medical Center (“NLMC”)</w:t>
      </w:r>
      <w:r>
        <w:t xml:space="preserve"> </w:t>
      </w:r>
      <w:r w:rsidRPr="00690C82">
        <w:t>authorizing Lincoln to release the files and information identified in ASD’s</w:t>
      </w:r>
      <w:r>
        <w:t xml:space="preserve"> </w:t>
      </w:r>
      <w:r w:rsidRPr="00690C82">
        <w:t>discovery</w:t>
      </w:r>
      <w:r>
        <w:t xml:space="preserve"> </w:t>
      </w:r>
      <w:r w:rsidRPr="00690C82">
        <w:t>requests and ASD furnishes said written waiver and consent to counsel for Lincoln</w:t>
      </w:r>
      <w:r>
        <w:t xml:space="preserve"> </w:t>
      </w:r>
      <w:r w:rsidRPr="00690C82">
        <w:t>by no later than the close of business, Friday March 6, 2026</w:t>
      </w:r>
      <w:r w:rsidR="003C32E9" w:rsidRPr="003C32E9">
        <w:t>.</w:t>
      </w:r>
    </w:p>
    <w:p w14:paraId="328C9B6E" w14:textId="77777777" w:rsidR="00690C82" w:rsidRDefault="00690C82" w:rsidP="00690C82">
      <w:r>
        <w:t>I</w:t>
      </w:r>
      <w:r w:rsidRPr="00690C82">
        <w:t xml:space="preserve">t is </w:t>
      </w:r>
      <w:r>
        <w:t xml:space="preserve">further </w:t>
      </w:r>
      <w:r>
        <w:t>O</w:t>
      </w:r>
      <w:r w:rsidRPr="00690C82">
        <w:t>rdered</w:t>
      </w:r>
      <w:r>
        <w:t xml:space="preserve"> </w:t>
      </w:r>
      <w:r w:rsidR="003C32E9">
        <w:t>that</w:t>
      </w:r>
      <w:r w:rsidR="003C32E9" w:rsidRPr="003C32E9">
        <w:t xml:space="preserve"> </w:t>
      </w:r>
      <w:r w:rsidR="007B0BEC">
        <w:t>should ASD provide Lincoln with the written waiver and consent</w:t>
      </w:r>
      <w:r w:rsidR="002D6DD7">
        <w:t xml:space="preserve"> no later than the close of business Friday March 6, 2026</w:t>
      </w:r>
      <w:r w:rsidR="007B0BEC">
        <w:t xml:space="preserve">, </w:t>
      </w:r>
      <w:r w:rsidR="007B0BEC">
        <w:lastRenderedPageBreak/>
        <w:t xml:space="preserve">Lincoln shall, </w:t>
      </w:r>
      <w:r w:rsidR="003C32E9">
        <w:t>w</w:t>
      </w:r>
      <w:r w:rsidR="003C32E9" w:rsidRPr="003C32E9">
        <w:t xml:space="preserve">ithin three </w:t>
      </w:r>
      <w:r w:rsidR="00143F63">
        <w:t xml:space="preserve">(3) business </w:t>
      </w:r>
      <w:r w:rsidR="003C32E9" w:rsidRPr="003C32E9">
        <w:t xml:space="preserve">days of receiving said waiver and consent, </w:t>
      </w:r>
      <w:r w:rsidR="007B0BEC">
        <w:t xml:space="preserve">provide </w:t>
      </w:r>
      <w:r w:rsidR="003C32E9" w:rsidRPr="003C32E9">
        <w:t xml:space="preserve">ASD </w:t>
      </w:r>
      <w:r w:rsidR="007B0BEC">
        <w:t xml:space="preserve">with </w:t>
      </w:r>
      <w:r w:rsidR="003C32E9" w:rsidRPr="003C32E9">
        <w:t xml:space="preserve">the </w:t>
      </w:r>
      <w:r w:rsidR="003C32E9">
        <w:t xml:space="preserve">information and documents requested in ASD’s Motion to Compel </w:t>
      </w:r>
      <w:r w:rsidR="00AA0E83">
        <w:t xml:space="preserve">for </w:t>
      </w:r>
      <w:r w:rsidR="003C32E9">
        <w:t xml:space="preserve">which NLMC </w:t>
      </w:r>
      <w:r w:rsidR="003C32E9" w:rsidRPr="003C32E9">
        <w:t xml:space="preserve">has </w:t>
      </w:r>
      <w:r w:rsidR="007B0BEC">
        <w:t>authorized Lincoln to release to ASD.</w:t>
      </w:r>
    </w:p>
    <w:p w14:paraId="74BAD6DF" w14:textId="57339DD5" w:rsidR="00813E59" w:rsidRPr="00690C82" w:rsidRDefault="00690C82" w:rsidP="00690C82">
      <w:pPr>
        <w:ind w:firstLine="0"/>
        <w:rPr>
          <w:b/>
          <w:bCs/>
        </w:rPr>
      </w:pPr>
      <w:r>
        <w:rPr>
          <w:b/>
          <w:bCs/>
        </w:rPr>
        <w:tab/>
      </w:r>
      <w:r w:rsidRPr="00690C82">
        <w:rPr>
          <w:b/>
          <w:bCs/>
        </w:rPr>
        <w:t xml:space="preserve">So </w:t>
      </w:r>
      <w:proofErr w:type="gramStart"/>
      <w:r w:rsidRPr="00690C82">
        <w:rPr>
          <w:b/>
          <w:bCs/>
        </w:rPr>
        <w:t>Ordered</w:t>
      </w:r>
      <w:proofErr w:type="gramEnd"/>
      <w:r w:rsidR="003862D1" w:rsidRPr="00690C82">
        <w:rPr>
          <w:b/>
          <w:bCs/>
        </w:rPr>
        <w:t xml:space="preserve"> </w:t>
      </w:r>
      <w:r w:rsidR="00B94FE4" w:rsidRPr="00690C82">
        <w:rPr>
          <w:b/>
          <w:bCs/>
        </w:rPr>
        <w:t xml:space="preserve">at </w:t>
      </w:r>
      <w:r w:rsidR="009472F7" w:rsidRPr="00690C82">
        <w:rPr>
          <w:b/>
          <w:bCs/>
        </w:rPr>
        <w:t>Baton Rouge</w:t>
      </w:r>
      <w:r w:rsidR="00B94FE4" w:rsidRPr="00690C82">
        <w:rPr>
          <w:b/>
          <w:bCs/>
        </w:rPr>
        <w:t>, Louisiana, this 18</w:t>
      </w:r>
      <w:r w:rsidR="00B94FE4" w:rsidRPr="00690C82">
        <w:rPr>
          <w:b/>
          <w:bCs/>
          <w:vertAlign w:val="superscript"/>
        </w:rPr>
        <w:t>th</w:t>
      </w:r>
      <w:r w:rsidR="00B94FE4" w:rsidRPr="00690C82">
        <w:rPr>
          <w:b/>
          <w:bCs/>
        </w:rPr>
        <w:t xml:space="preserve"> day of </w:t>
      </w:r>
      <w:proofErr w:type="gramStart"/>
      <w:r w:rsidR="00B94FE4" w:rsidRPr="00690C82">
        <w:rPr>
          <w:b/>
          <w:bCs/>
        </w:rPr>
        <w:t>February,</w:t>
      </w:r>
      <w:proofErr w:type="gramEnd"/>
      <w:r w:rsidR="00B94FE4" w:rsidRPr="00690C82">
        <w:rPr>
          <w:b/>
          <w:bCs/>
        </w:rPr>
        <w:t xml:space="preserve"> 2026. </w:t>
      </w:r>
    </w:p>
    <w:p w14:paraId="585D2815" w14:textId="723ACA2B" w:rsidR="009472F7" w:rsidRPr="00690C82" w:rsidRDefault="00690C82" w:rsidP="00690C82">
      <w:pPr>
        <w:ind w:firstLine="0"/>
        <w:rPr>
          <w:b/>
          <w:bCs/>
        </w:rPr>
      </w:pPr>
      <w:r>
        <w:rPr>
          <w:b/>
          <w:bCs/>
        </w:rPr>
        <w:tab/>
      </w:r>
      <w:r w:rsidR="00B94FE4" w:rsidRPr="00690C82">
        <w:rPr>
          <w:b/>
          <w:bCs/>
        </w:rPr>
        <w:t xml:space="preserve">Francis J. “Jay” Lobrano, Local Tax Judge, </w:t>
      </w:r>
    </w:p>
    <w:p w14:paraId="70FC7BC2" w14:textId="546AD300" w:rsidR="00813E59" w:rsidRDefault="00690C82" w:rsidP="00690C82">
      <w:pPr>
        <w:ind w:firstLine="0"/>
      </w:pPr>
      <w:r>
        <w:rPr>
          <w:b/>
          <w:bCs/>
        </w:rPr>
        <w:tab/>
      </w:r>
      <w:r w:rsidR="00B94FE4" w:rsidRPr="00690C82">
        <w:rPr>
          <w:b/>
          <w:bCs/>
        </w:rPr>
        <w:t>Louisiana Board of Tax Appeals</w:t>
      </w:r>
    </w:p>
    <w:p w14:paraId="16081CE3" w14:textId="74AE67C8" w:rsidR="00813E59" w:rsidRPr="003C32E9" w:rsidRDefault="007B0BEC" w:rsidP="00690C82">
      <w:pPr>
        <w:sectPr w:rsidR="00813E59" w:rsidRPr="003C32E9">
          <w:footerReference w:type="even" r:id="rId10"/>
          <w:footerReference w:type="default" r:id="rId11"/>
          <w:pgSz w:w="12240" w:h="20160"/>
          <w:pgMar w:top="2160" w:right="1440" w:bottom="1920" w:left="1440" w:header="720" w:footer="1440" w:gutter="0"/>
          <w:cols w:space="720"/>
        </w:sectPr>
      </w:pPr>
      <w:r>
        <w:br w:type="page"/>
      </w:r>
    </w:p>
    <w:p w14:paraId="139199D7" w14:textId="07302E7A" w:rsidR="00813E59" w:rsidRPr="003C32E9" w:rsidRDefault="009D45E1" w:rsidP="00690C82">
      <w:pPr>
        <w:pStyle w:val="Heading2"/>
      </w:pPr>
      <w:r w:rsidRPr="003C32E9">
        <w:lastRenderedPageBreak/>
        <w:t xml:space="preserve">Written Reasons </w:t>
      </w:r>
      <w:r>
        <w:t>f</w:t>
      </w:r>
      <w:r w:rsidRPr="003C32E9">
        <w:t>or Ruling</w:t>
      </w:r>
      <w:r>
        <w:t xml:space="preserve"> o</w:t>
      </w:r>
      <w:r w:rsidRPr="003C32E9">
        <w:t xml:space="preserve">n Motion </w:t>
      </w:r>
      <w:r>
        <w:t>t</w:t>
      </w:r>
      <w:r w:rsidRPr="003C32E9">
        <w:t>o Compel</w:t>
      </w:r>
    </w:p>
    <w:p w14:paraId="48AA1DB0" w14:textId="77777777" w:rsidR="00C563D7" w:rsidRPr="003C32E9" w:rsidRDefault="003862D1" w:rsidP="00690C82">
      <w:pPr>
        <w:rPr>
          <w:szCs w:val="24"/>
        </w:rPr>
      </w:pPr>
      <w:r w:rsidRPr="003C32E9">
        <w:t>On February 12, 2026, this matter</w:t>
      </w:r>
      <w:r w:rsidRPr="003C32E9">
        <w:rPr>
          <w:rStyle w:val="FootnoteReference"/>
          <w:rFonts w:ascii="Century Schoolbook" w:hAnsi="Century Schoolbook"/>
        </w:rPr>
        <w:footnoteReference w:id="2"/>
      </w:r>
      <w:r w:rsidRPr="003C32E9">
        <w:t xml:space="preserve"> came before for the Board for hearing on the Motion to </w:t>
      </w:r>
      <w:r w:rsidR="00C563D7" w:rsidRPr="003C32E9">
        <w:t xml:space="preserve">Compel </w:t>
      </w:r>
      <w:r w:rsidRPr="003C32E9">
        <w:t>filed by ASD Specialty Healthcare, LLC (“ASD”), with Local Tax Judge Francis J. “Jay” Lobrano presiding. Appearing before the Board were: Andre Burvant and Bill Backstrom, attorneys for ASD; Drew Talbot, attorney for the Lincoln Parish Sales and Use Tax Commission (“Lincoln”); and Sydnee Menou, attorney for the Louisiana Sales and Use Tax Commission for Remote Sellers (“RSC”).</w:t>
      </w:r>
      <w:r w:rsidRPr="003C32E9">
        <w:rPr>
          <w:szCs w:val="24"/>
        </w:rPr>
        <w:t xml:space="preserve"> </w:t>
      </w:r>
      <w:r w:rsidR="00B94FE4" w:rsidRPr="003C32E9">
        <w:rPr>
          <w:szCs w:val="24"/>
        </w:rPr>
        <w:t xml:space="preserve">The Board </w:t>
      </w:r>
      <w:r w:rsidRPr="003C32E9">
        <w:rPr>
          <w:szCs w:val="24"/>
        </w:rPr>
        <w:t xml:space="preserve">issues </w:t>
      </w:r>
      <w:r w:rsidR="00B94FE4" w:rsidRPr="003C32E9">
        <w:rPr>
          <w:szCs w:val="24"/>
        </w:rPr>
        <w:t>the following reasons</w:t>
      </w:r>
      <w:r w:rsidRPr="003C32E9">
        <w:rPr>
          <w:szCs w:val="24"/>
        </w:rPr>
        <w:t xml:space="preserve"> for </w:t>
      </w:r>
      <w:r w:rsidR="00C563D7" w:rsidRPr="003C32E9">
        <w:rPr>
          <w:szCs w:val="24"/>
        </w:rPr>
        <w:t>ruling</w:t>
      </w:r>
    </w:p>
    <w:p w14:paraId="0B7ED80A" w14:textId="77777777" w:rsidR="00C563D7" w:rsidRPr="00690C82" w:rsidRDefault="00C563D7" w:rsidP="00690C82">
      <w:pPr>
        <w:pStyle w:val="Heading3"/>
      </w:pPr>
      <w:r w:rsidRPr="00690C82">
        <w:t>Background</w:t>
      </w:r>
    </w:p>
    <w:p w14:paraId="1C32BA65" w14:textId="27994BC4" w:rsidR="00C563D7" w:rsidRPr="00C563D7" w:rsidRDefault="00C563D7" w:rsidP="00690C82">
      <w:pPr>
        <w:rPr>
          <w:rFonts w:eastAsia="Calibri"/>
        </w:rPr>
      </w:pPr>
      <w:r w:rsidRPr="00C563D7">
        <w:rPr>
          <w:rFonts w:eastAsia="Calibri"/>
        </w:rPr>
        <w:t xml:space="preserve">On June 30, 2023, Lincoln issued a Notice of Assessment (“Assessment”) for Sales and Use Tax to ASD for the tax periods </w:t>
      </w:r>
      <w:bookmarkStart w:id="0" w:name="_Hlk222234367"/>
      <w:r w:rsidRPr="00C563D7">
        <w:rPr>
          <w:rFonts w:eastAsia="Calibri"/>
        </w:rPr>
        <w:t>January 1, 2019, through September 30, 2022 (“Tax Periods”</w:t>
      </w:r>
      <w:bookmarkEnd w:id="0"/>
      <w:r w:rsidRPr="00C563D7">
        <w:rPr>
          <w:rFonts w:eastAsia="Calibri"/>
        </w:rPr>
        <w:t>), for tax, penalties, and interest totaling, $82,823.31. On August 29, 2023, ASD filed the instant Petition for Redetermination of Assessment.</w:t>
      </w:r>
      <w:r w:rsidRPr="00C563D7">
        <w:rPr>
          <w:rFonts w:eastAsia="Calibri"/>
          <w:vertAlign w:val="superscript"/>
        </w:rPr>
        <w:footnoteReference w:id="3"/>
      </w:r>
      <w:r w:rsidRPr="00C563D7">
        <w:rPr>
          <w:rFonts w:eastAsia="Calibri"/>
        </w:rPr>
        <w:t xml:space="preserve"> ASD’s Petition was filed by Matthew Wilk, ASD’s Director of Indirect Tax.</w:t>
      </w:r>
    </w:p>
    <w:p w14:paraId="61258876" w14:textId="77777777" w:rsidR="00C563D7" w:rsidRPr="00C563D7" w:rsidRDefault="00C563D7" w:rsidP="00690C82">
      <w:pPr>
        <w:rPr>
          <w:rFonts w:eastAsia="Calibri"/>
        </w:rPr>
      </w:pPr>
      <w:r w:rsidRPr="00C563D7">
        <w:rPr>
          <w:rFonts w:eastAsia="Calibri"/>
        </w:rPr>
        <w:lastRenderedPageBreak/>
        <w:t>In the Petition, ASD alleged that is a specialty healthcare distribution company that sells specialty drugs and therapies to healthcare providers and pharmacies in Lincoln Parish. During the Tax Periods, ASD sold specialty pharmaceuticals, including certain COVID-19 infusion treatments (“COVID Treatments”) to a customer in Lincoln Parish. ASD alleged the COVID Treatments were exempt under 2021 Act 286, codified at La. R.S. 47:305.75 and later 305.76(A) and (B). ASD also raised constitutional defenses to taxation</w:t>
      </w:r>
      <w:r w:rsidRPr="00C563D7">
        <w:rPr>
          <w:rFonts w:eastAsia="Calibri"/>
          <w:vertAlign w:val="superscript"/>
        </w:rPr>
        <w:footnoteReference w:id="4"/>
      </w:r>
      <w:r w:rsidRPr="00C563D7">
        <w:rPr>
          <w:rFonts w:eastAsia="Calibri"/>
        </w:rPr>
        <w:t>, and asserted that it was not a “dealer” for purposes Lincoln or Louisiana sales and use taxes.</w:t>
      </w:r>
    </w:p>
    <w:p w14:paraId="77F0F38D" w14:textId="775C1549" w:rsidR="00C563D7" w:rsidRPr="003C32E9" w:rsidRDefault="00C563D7" w:rsidP="00690C82">
      <w:pPr>
        <w:rPr>
          <w:rFonts w:eastAsia="Calibri"/>
        </w:rPr>
      </w:pPr>
      <w:r w:rsidRPr="00C563D7">
        <w:rPr>
          <w:rFonts w:eastAsia="Calibri"/>
        </w:rPr>
        <w:t>Additionally, and relevant to the Motion presently under consideration, ASD alleged that “to the extent that any sales at issue in the Assessment were by Petitioner to customers that accrued, charged, and paid sales tax on the COVID Treatments or other specialty drugs, the Assessment should be reduced.”</w:t>
      </w:r>
      <w:r w:rsidRPr="00C563D7">
        <w:rPr>
          <w:rFonts w:eastAsia="Calibri"/>
          <w:vertAlign w:val="superscript"/>
        </w:rPr>
        <w:footnoteReference w:id="5"/>
      </w:r>
      <w:r w:rsidRPr="00C563D7">
        <w:rPr>
          <w:rFonts w:eastAsia="Calibri"/>
        </w:rPr>
        <w:t xml:space="preserve"> Lincoln </w:t>
      </w:r>
      <w:r w:rsidR="003C32E9">
        <w:rPr>
          <w:rFonts w:eastAsia="Calibri"/>
        </w:rPr>
        <w:t xml:space="preserve">subsequently </w:t>
      </w:r>
      <w:r w:rsidRPr="00C563D7">
        <w:rPr>
          <w:rFonts w:eastAsia="Calibri"/>
        </w:rPr>
        <w:t xml:space="preserve">propounded Interrogatories </w:t>
      </w:r>
      <w:r w:rsidR="007B0BEC">
        <w:rPr>
          <w:rFonts w:eastAsia="Calibri"/>
        </w:rPr>
        <w:t xml:space="preserve">and Requests for Production of Documents </w:t>
      </w:r>
      <w:r w:rsidRPr="00C563D7">
        <w:rPr>
          <w:rFonts w:eastAsia="Calibri"/>
        </w:rPr>
        <w:t>on ASD.</w:t>
      </w:r>
      <w:r w:rsidR="00454BAA">
        <w:rPr>
          <w:rStyle w:val="FootnoteReference"/>
          <w:rFonts w:ascii="Century Schoolbook" w:eastAsia="Calibri" w:hAnsi="Century Schoolbook"/>
          <w:kern w:val="2"/>
          <w:szCs w:val="22"/>
          <w14:ligatures w14:val="standardContextual"/>
        </w:rPr>
        <w:footnoteReference w:id="6"/>
      </w:r>
      <w:r w:rsidRPr="00C563D7">
        <w:rPr>
          <w:rFonts w:eastAsia="Calibri"/>
        </w:rPr>
        <w:t xml:space="preserve"> Therein, Lincoln requested that ASD identify its customers, the transactions at issue, and “any amount of any Lincoln Parish sales or use taxes You contend that Your customers ‘accrued, charged, and paid sales or use tax on the COVID Treatments or other specialty drugs.’” </w:t>
      </w:r>
      <w:r w:rsidRPr="003C32E9">
        <w:rPr>
          <w:rFonts w:eastAsia="Calibri"/>
        </w:rPr>
        <w:t xml:space="preserve">Lincoln was obliged to file a Motion to Compel responses to its </w:t>
      </w:r>
      <w:r w:rsidR="000A44E9">
        <w:rPr>
          <w:rFonts w:eastAsia="Calibri"/>
        </w:rPr>
        <w:t>I</w:t>
      </w:r>
      <w:r w:rsidR="000A44E9" w:rsidRPr="003C32E9">
        <w:rPr>
          <w:rFonts w:eastAsia="Calibri"/>
        </w:rPr>
        <w:t xml:space="preserve">nterrogatories </w:t>
      </w:r>
      <w:r w:rsidRPr="003C32E9">
        <w:rPr>
          <w:rFonts w:eastAsia="Calibri"/>
        </w:rPr>
        <w:t xml:space="preserve">and </w:t>
      </w:r>
      <w:r w:rsidR="000A44E9">
        <w:rPr>
          <w:rFonts w:eastAsia="Calibri"/>
        </w:rPr>
        <w:t>R</w:t>
      </w:r>
      <w:r w:rsidR="000A44E9" w:rsidRPr="003C32E9">
        <w:rPr>
          <w:rFonts w:eastAsia="Calibri"/>
        </w:rPr>
        <w:t xml:space="preserve">equests </w:t>
      </w:r>
      <w:r w:rsidRPr="003C32E9">
        <w:rPr>
          <w:rFonts w:eastAsia="Calibri"/>
        </w:rPr>
        <w:t xml:space="preserve">for </w:t>
      </w:r>
      <w:r w:rsidR="000A44E9">
        <w:rPr>
          <w:rFonts w:eastAsia="Calibri"/>
        </w:rPr>
        <w:t>P</w:t>
      </w:r>
      <w:r w:rsidR="000A44E9" w:rsidRPr="003C32E9">
        <w:rPr>
          <w:rFonts w:eastAsia="Calibri"/>
        </w:rPr>
        <w:t>roduction</w:t>
      </w:r>
      <w:r w:rsidRPr="003C32E9">
        <w:rPr>
          <w:rFonts w:eastAsia="Calibri"/>
        </w:rPr>
        <w:t xml:space="preserve">. </w:t>
      </w:r>
      <w:r w:rsidR="007B0BEC">
        <w:rPr>
          <w:rFonts w:eastAsia="Calibri"/>
        </w:rPr>
        <w:t>Th</w:t>
      </w:r>
      <w:r w:rsidR="002D6DD7">
        <w:rPr>
          <w:rFonts w:eastAsia="Calibri"/>
        </w:rPr>
        <w:t>is</w:t>
      </w:r>
      <w:r w:rsidR="000A44E9">
        <w:rPr>
          <w:rFonts w:eastAsia="Calibri"/>
        </w:rPr>
        <w:t xml:space="preserve"> earlier</w:t>
      </w:r>
      <w:r w:rsidR="007B0BEC">
        <w:rPr>
          <w:rFonts w:eastAsia="Calibri"/>
        </w:rPr>
        <w:t xml:space="preserve"> Motion to Compel filed by Lincoln was previously heard </w:t>
      </w:r>
      <w:r w:rsidR="002D6DD7">
        <w:rPr>
          <w:rFonts w:eastAsia="Calibri"/>
        </w:rPr>
        <w:t>and ultimately granted by this Board.</w:t>
      </w:r>
    </w:p>
    <w:p w14:paraId="1AAA918F" w14:textId="22A9892F" w:rsidR="00D406DC" w:rsidRPr="003C32E9" w:rsidRDefault="00B94FE4" w:rsidP="00690C82">
      <w:r w:rsidRPr="003C32E9">
        <w:t xml:space="preserve">On September 11, 2025, both </w:t>
      </w:r>
      <w:r w:rsidR="00983B98" w:rsidRPr="003C32E9">
        <w:t xml:space="preserve">ASD </w:t>
      </w:r>
      <w:r w:rsidRPr="003C32E9">
        <w:t xml:space="preserve">and </w:t>
      </w:r>
      <w:r w:rsidR="00983B98" w:rsidRPr="003C32E9">
        <w:t xml:space="preserve">Lincoln </w:t>
      </w:r>
      <w:r w:rsidRPr="003C32E9">
        <w:t xml:space="preserve">agreed to </w:t>
      </w:r>
      <w:r w:rsidR="003862D1" w:rsidRPr="003C32E9">
        <w:t>conduct a trial on the merits on</w:t>
      </w:r>
      <w:r w:rsidRPr="003C32E9">
        <w:t xml:space="preserve"> March 17, 2026. </w:t>
      </w:r>
      <w:r w:rsidR="003862D1" w:rsidRPr="003C32E9">
        <w:t>The merits date was agreed upon during a status conference with all parties represented</w:t>
      </w:r>
      <w:r w:rsidR="00D406DC" w:rsidRPr="003C32E9">
        <w:t>.</w:t>
      </w:r>
      <w:r w:rsidR="003862D1" w:rsidRPr="003C32E9">
        <w:t xml:space="preserve"> </w:t>
      </w:r>
      <w:r w:rsidR="00D406DC" w:rsidRPr="003C32E9">
        <w:t>T</w:t>
      </w:r>
      <w:r w:rsidR="003862D1" w:rsidRPr="003C32E9">
        <w:t xml:space="preserve">he Board issued a Scheduling Order after </w:t>
      </w:r>
      <w:r w:rsidR="003862D1" w:rsidRPr="003C32E9">
        <w:lastRenderedPageBreak/>
        <w:t xml:space="preserve">advising the parties of the Board’s standard pre-trial deadlines. </w:t>
      </w:r>
      <w:r w:rsidR="00D406DC" w:rsidRPr="003C32E9">
        <w:t>A copy of the draft Scheduling Order was circulated to counsel by the Board’s staff and no objections or requests for changes to the standard deadlines were raised by counsel.</w:t>
      </w:r>
    </w:p>
    <w:p w14:paraId="2836FEBB" w14:textId="34E37B79" w:rsidR="000C35D6" w:rsidRPr="003C32E9" w:rsidRDefault="000C35D6" w:rsidP="00690C82">
      <w:r w:rsidRPr="003C32E9">
        <w:t>On December 23, 2025</w:t>
      </w:r>
      <w:r w:rsidR="00B94FE4" w:rsidRPr="003C32E9">
        <w:t>, roughly 8 days prior to the conclusion of the discovery cut</w:t>
      </w:r>
      <w:r w:rsidR="003862D1" w:rsidRPr="003C32E9">
        <w:t>-</w:t>
      </w:r>
      <w:r w:rsidR="00B94FE4" w:rsidRPr="003C32E9">
        <w:t xml:space="preserve">off date established in the Scheduling Order, </w:t>
      </w:r>
      <w:r w:rsidRPr="003C32E9">
        <w:t xml:space="preserve">ASD propounded discovery on Lincoln seeking information and communications regarding any potential audit of </w:t>
      </w:r>
      <w:r w:rsidR="000A44E9">
        <w:t xml:space="preserve">its customer </w:t>
      </w:r>
      <w:r w:rsidRPr="003C32E9">
        <w:t xml:space="preserve">Northern Louisiana Medical Center (“NLMC”) for the Tax Periods. Lincoln responded with objections on January 28, 2026. On February 2, 2026, the parties conducted a Rule 10.1 </w:t>
      </w:r>
      <w:r w:rsidR="00EC75CD" w:rsidRPr="003C32E9">
        <w:t>conference</w:t>
      </w:r>
      <w:r w:rsidR="002D6DD7">
        <w:t>, which failed to produce an agreement between the parties</w:t>
      </w:r>
      <w:r w:rsidRPr="003C32E9">
        <w:t>. ASD filed the instant Motion to Compel on February 9, 2026.</w:t>
      </w:r>
    </w:p>
    <w:p w14:paraId="69BE22C4" w14:textId="234A1D3A" w:rsidR="000C35D6" w:rsidRPr="003C32E9" w:rsidRDefault="000C35D6" w:rsidP="00690C82">
      <w:pPr>
        <w:pStyle w:val="Heading3"/>
      </w:pPr>
      <w:r w:rsidRPr="003C32E9">
        <w:t>Discussion</w:t>
      </w:r>
    </w:p>
    <w:p w14:paraId="34231A19" w14:textId="374EF238" w:rsidR="000C35D6" w:rsidRPr="003C32E9" w:rsidRDefault="000C35D6" w:rsidP="00690C82">
      <w:r w:rsidRPr="003C32E9">
        <w:t xml:space="preserve">Lincoln </w:t>
      </w:r>
      <w:r w:rsidR="00205844" w:rsidRPr="003C32E9">
        <w:t>argues that the files of other taxpayers are protected from disclosure under La. R.S. 47:1508(A), which provides, in relevant part:</w:t>
      </w:r>
    </w:p>
    <w:p w14:paraId="6433BB60" w14:textId="77777777" w:rsidR="00205844" w:rsidRPr="00DF35B0" w:rsidRDefault="00205844" w:rsidP="00DF35B0">
      <w:pPr>
        <w:pStyle w:val="Quote"/>
      </w:pPr>
      <w:r w:rsidRPr="00DF35B0">
        <w:t>(1) Except as otherwise provided by law, the records and files of the secretary of the Department of Revenue or the records and files maintained pursuant to a tax ordinance, excluding ad valorem property taxes and ad valorem property tax assessment rolls, of any political subdivision are confidential and privileged, and no person shall divulge or disclose any information obtained from such records and files except in the administration and enforcement of the tax laws of this state or of a political subdivision of this state.</w:t>
      </w:r>
    </w:p>
    <w:p w14:paraId="6481BC0B" w14:textId="36223DAA" w:rsidR="00205844" w:rsidRPr="003C32E9" w:rsidRDefault="00205844" w:rsidP="00DF35B0">
      <w:pPr>
        <w:pStyle w:val="Quote"/>
      </w:pPr>
      <w:r w:rsidRPr="003C32E9">
        <w:t>(2) No person shall divulge or disclose any information obtained from any examination or inspection of the premises or property of any person in connection with the administration and enforcement of the tax laws of this state or a political subdivision of this state except to the taxing jurisdiction of his employment or, in the case of an already existing independent contractor arrangement, to the contracting taxing jurisdiction.</w:t>
      </w:r>
    </w:p>
    <w:p w14:paraId="0EC24216" w14:textId="77777777" w:rsidR="00205844" w:rsidRPr="003C32E9" w:rsidRDefault="00205844" w:rsidP="00DF35B0">
      <w:pPr>
        <w:pStyle w:val="Quote"/>
      </w:pPr>
      <w:r w:rsidRPr="003C32E9">
        <w:t xml:space="preserve">(3) Neither the secretary nor any employee engaged in the administration or charged with </w:t>
      </w:r>
      <w:proofErr w:type="gramStart"/>
      <w:r w:rsidRPr="003C32E9">
        <w:t>the custody</w:t>
      </w:r>
      <w:proofErr w:type="gramEnd"/>
      <w:r w:rsidRPr="003C32E9">
        <w:t xml:space="preserve"> of any such records or files shall be required to produce any of them for inspection or use in any action or proceeding, except in an action or proceeding in the administration or enforcement of the tax laws of this state or of a political subdivision.</w:t>
      </w:r>
    </w:p>
    <w:p w14:paraId="6C572653" w14:textId="4631FD3C" w:rsidR="000C35D6" w:rsidRPr="003C32E9" w:rsidRDefault="00205844" w:rsidP="00690C82">
      <w:r w:rsidRPr="003C32E9">
        <w:t xml:space="preserve">The Board agrees that </w:t>
      </w:r>
      <w:r w:rsidR="002D6DD7">
        <w:t xml:space="preserve">the statute prohibits Lincoln from providing such records and information absent the specific consent of the taxpayer, and that contrary to ASD’s assertion that </w:t>
      </w:r>
      <w:r w:rsidR="00143F63">
        <w:t xml:space="preserve">its </w:t>
      </w:r>
      <w:r w:rsidR="002D6DD7">
        <w:t xml:space="preserve">discovery requests fall within the exception found in La. </w:t>
      </w:r>
      <w:r w:rsidR="002D6DD7">
        <w:lastRenderedPageBreak/>
        <w:t>R.S. 47:1508(A)(1)</w:t>
      </w:r>
      <w:r w:rsidR="00143F63">
        <w:t xml:space="preserve"> (the “administration and enforcement of the tax laws”), neither </w:t>
      </w:r>
      <w:r w:rsidRPr="003C32E9">
        <w:t xml:space="preserve">ASD’s Petition for Redetermination of Assessment </w:t>
      </w:r>
      <w:r w:rsidR="00143F63">
        <w:t xml:space="preserve">nor its related discovery requests are </w:t>
      </w:r>
      <w:r w:rsidRPr="003C32E9">
        <w:t>action</w:t>
      </w:r>
      <w:r w:rsidR="00143F63">
        <w:t>s</w:t>
      </w:r>
      <w:r w:rsidRPr="003C32E9">
        <w:t xml:space="preserve"> “in</w:t>
      </w:r>
      <w:r w:rsidRPr="003C32E9">
        <w:rPr>
          <w:color w:val="000000"/>
        </w:rPr>
        <w:t xml:space="preserve"> the administration and enforcement of the tax laws of this state or of a political subdivision of this state.” </w:t>
      </w:r>
      <w:r w:rsidRPr="00492C2E">
        <w:rPr>
          <w:i/>
          <w:iCs/>
          <w:color w:val="000000"/>
        </w:rPr>
        <w:t>See</w:t>
      </w:r>
      <w:r w:rsidRPr="003C32E9">
        <w:rPr>
          <w:color w:val="000000"/>
        </w:rPr>
        <w:t xml:space="preserve"> </w:t>
      </w:r>
      <w:r w:rsidRPr="003C32E9">
        <w:rPr>
          <w:i/>
          <w:iCs/>
        </w:rPr>
        <w:t>Testa Distributing Co., Inc. v. Tarver</w:t>
      </w:r>
      <w:r w:rsidRPr="003C32E9">
        <w:t xml:space="preserve">, CW 90 2240 (La. App. 1 Cir. 6/28/91), 584 So.2d 300; </w:t>
      </w:r>
      <w:r w:rsidRPr="003C32E9">
        <w:rPr>
          <w:i/>
          <w:iCs/>
        </w:rPr>
        <w:t>Buras v. State</w:t>
      </w:r>
      <w:r w:rsidRPr="003C32E9">
        <w:t xml:space="preserve">, 496 So.2d 517 (La. Ct. 1 App. 1986). </w:t>
      </w:r>
      <w:r w:rsidR="00143F63">
        <w:t xml:space="preserve">As the above jurisprudence establishes, the exception applies only to the administration and enforcement of the tax laws by the Secretary or a local Collector.  </w:t>
      </w:r>
      <w:r w:rsidRPr="003C32E9">
        <w:t>Accordingly, the information ASD seeks is protected from disclosure by La. R.S. 47:1508.</w:t>
      </w:r>
    </w:p>
    <w:p w14:paraId="21036393" w14:textId="4933A52E" w:rsidR="00205844" w:rsidRPr="00690C82" w:rsidRDefault="00205844" w:rsidP="00690C82">
      <w:r w:rsidRPr="00690C82">
        <w:t xml:space="preserve">However, it is undisputed that if ASD obtained written waivers from its customers allowing Lincoln to disclose </w:t>
      </w:r>
      <w:r w:rsidR="00143F63" w:rsidRPr="00690C82">
        <w:t xml:space="preserve">and produce the </w:t>
      </w:r>
      <w:r w:rsidRPr="00690C82">
        <w:t xml:space="preserve">information </w:t>
      </w:r>
      <w:r w:rsidR="00143F63" w:rsidRPr="00690C82">
        <w:t>and documents requested in ASD’s discovery to Lincoln</w:t>
      </w:r>
      <w:r w:rsidRPr="00690C82">
        <w:t xml:space="preserve">, that would resolve the dispute. </w:t>
      </w:r>
      <w:r w:rsidR="00143F63" w:rsidRPr="00690C82">
        <w:t xml:space="preserve">During the hearing on the Motion to Compel, </w:t>
      </w:r>
      <w:r w:rsidRPr="00690C82">
        <w:t xml:space="preserve">Counsel for ASD represented to the Board that </w:t>
      </w:r>
      <w:r w:rsidR="00143F63" w:rsidRPr="00690C82">
        <w:t xml:space="preserve">ASD </w:t>
      </w:r>
      <w:r w:rsidRPr="00690C82">
        <w:t xml:space="preserve">was attempting to obtain said waivers and consents. The Board will accordingly </w:t>
      </w:r>
      <w:r w:rsidR="00143F63" w:rsidRPr="00690C82">
        <w:t xml:space="preserve">grant the Motion to Compel subject to the contingency that </w:t>
      </w:r>
      <w:r w:rsidRPr="00690C82">
        <w:t>ASD obtain said waivers and consents</w:t>
      </w:r>
      <w:r w:rsidR="00143F63" w:rsidRPr="00690C82">
        <w:t xml:space="preserve"> from NLMC</w:t>
      </w:r>
      <w:r w:rsidRPr="00690C82">
        <w:t xml:space="preserve"> and present them to </w:t>
      </w:r>
      <w:r w:rsidR="00143F63" w:rsidRPr="00690C82">
        <w:t xml:space="preserve">counsel for </w:t>
      </w:r>
      <w:r w:rsidRPr="00690C82">
        <w:t xml:space="preserve">Lincoln by no later than </w:t>
      </w:r>
      <w:r w:rsidR="00143F63" w:rsidRPr="00690C82">
        <w:t xml:space="preserve">the close of business Friday </w:t>
      </w:r>
      <w:r w:rsidRPr="00690C82">
        <w:t xml:space="preserve">March 6, 2026. Within three </w:t>
      </w:r>
      <w:r w:rsidR="00143F63" w:rsidRPr="00690C82">
        <w:t xml:space="preserve">business </w:t>
      </w:r>
      <w:r w:rsidRPr="00690C82">
        <w:t xml:space="preserve">days of receiving said waiver and consent, Lincoln shall disclose to ASD the </w:t>
      </w:r>
      <w:r w:rsidR="00EC75CD" w:rsidRPr="00690C82">
        <w:t xml:space="preserve">requested information and </w:t>
      </w:r>
      <w:r w:rsidRPr="00690C82">
        <w:t xml:space="preserve">documents </w:t>
      </w:r>
      <w:r w:rsidR="00EC75CD" w:rsidRPr="00690C82">
        <w:t>in accordance with the disclosure consented to by NLMC</w:t>
      </w:r>
      <w:r w:rsidR="003C32E9" w:rsidRPr="00690C82">
        <w:t>.</w:t>
      </w:r>
    </w:p>
    <w:p w14:paraId="1776799D" w14:textId="4653C60A" w:rsidR="00813E59" w:rsidRPr="00EA2100" w:rsidRDefault="00B94FE4" w:rsidP="00EA2100">
      <w:pPr>
        <w:rPr>
          <w:b/>
          <w:bCs/>
        </w:rPr>
      </w:pPr>
      <w:r w:rsidRPr="00EA2100">
        <w:rPr>
          <w:b/>
          <w:bCs/>
        </w:rPr>
        <w:t xml:space="preserve">Baton Rouge, Louisiana, this </w:t>
      </w:r>
      <w:r w:rsidR="007F06F0" w:rsidRPr="00EA2100">
        <w:rPr>
          <w:b/>
          <w:bCs/>
        </w:rPr>
        <w:t>18</w:t>
      </w:r>
      <w:r w:rsidRPr="00EA2100">
        <w:rPr>
          <w:b/>
          <w:bCs/>
          <w:vertAlign w:val="superscript"/>
        </w:rPr>
        <w:t>th</w:t>
      </w:r>
      <w:r w:rsidRPr="00EA2100">
        <w:rPr>
          <w:b/>
          <w:bCs/>
        </w:rPr>
        <w:t xml:space="preserve"> day of </w:t>
      </w:r>
      <w:proofErr w:type="gramStart"/>
      <w:r w:rsidRPr="00EA2100">
        <w:rPr>
          <w:b/>
          <w:bCs/>
        </w:rPr>
        <w:t>February,</w:t>
      </w:r>
      <w:proofErr w:type="gramEnd"/>
      <w:r w:rsidRPr="00EA2100">
        <w:rPr>
          <w:b/>
          <w:bCs/>
        </w:rPr>
        <w:t xml:space="preserve"> </w:t>
      </w:r>
      <w:r w:rsidR="000A44E9" w:rsidRPr="00EA2100">
        <w:rPr>
          <w:b/>
          <w:bCs/>
        </w:rPr>
        <w:t>2026</w:t>
      </w:r>
      <w:r w:rsidRPr="00EA2100">
        <w:rPr>
          <w:b/>
          <w:bCs/>
        </w:rPr>
        <w:t xml:space="preserve">.  </w:t>
      </w:r>
    </w:p>
    <w:p w14:paraId="0ABC2809" w14:textId="7B053529" w:rsidR="00BE318F" w:rsidRPr="00EA2100" w:rsidRDefault="00BE318F" w:rsidP="00EA2100">
      <w:pPr>
        <w:rPr>
          <w:b/>
          <w:bCs/>
        </w:rPr>
      </w:pPr>
      <w:r w:rsidRPr="00EA2100">
        <w:rPr>
          <w:b/>
          <w:bCs/>
        </w:rPr>
        <w:t>Francis J. “Jay” Lobrano, Local Tax Judge,</w:t>
      </w:r>
    </w:p>
    <w:p w14:paraId="3956419A" w14:textId="07A4CD5A" w:rsidR="00813E59" w:rsidRPr="00EA2100" w:rsidRDefault="00BE318F" w:rsidP="00EA2100">
      <w:pPr>
        <w:rPr>
          <w:b/>
          <w:bCs/>
        </w:rPr>
      </w:pPr>
      <w:r w:rsidRPr="00EA2100">
        <w:rPr>
          <w:b/>
          <w:bCs/>
        </w:rPr>
        <w:t>Louisiana Board of Tax Appeals</w:t>
      </w:r>
    </w:p>
    <w:sectPr w:rsidR="00813E59" w:rsidRPr="00EA2100">
      <w:headerReference w:type="even" r:id="rId12"/>
      <w:headerReference w:type="default" r:id="rId13"/>
      <w:footerReference w:type="even" r:id="rId14"/>
      <w:footerReference w:type="default" r:id="rId15"/>
      <w:footnotePr>
        <w:numRestart w:val="eachSect"/>
      </w:footnotePr>
      <w:type w:val="continuous"/>
      <w:pgSz w:w="12240" w:h="20160"/>
      <w:pgMar w:top="216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CB0E3" w14:textId="77777777" w:rsidR="00E12489" w:rsidRDefault="00E12489" w:rsidP="00690C82">
      <w:r>
        <w:separator/>
      </w:r>
    </w:p>
  </w:endnote>
  <w:endnote w:type="continuationSeparator" w:id="0">
    <w:p w14:paraId="553CD11D" w14:textId="77777777" w:rsidR="00E12489" w:rsidRDefault="00E12489" w:rsidP="00690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2130005991"/>
      <w:docPartObj>
        <w:docPartGallery w:val="Page Numbers (Bottom of Page)"/>
        <w:docPartUnique/>
      </w:docPartObj>
    </w:sdtPr>
    <w:sdtEndPr>
      <w:rPr>
        <w:noProof/>
      </w:rPr>
    </w:sdtEndPr>
    <w:sdtContent>
      <w:p w14:paraId="45A833F5" w14:textId="491D9CD5" w:rsidR="00813E59" w:rsidRPr="00690C82" w:rsidRDefault="000A44E9" w:rsidP="00690C82">
        <w:pPr>
          <w:pStyle w:val="Footer"/>
          <w:spacing w:line="240" w:lineRule="auto"/>
          <w:ind w:firstLine="0"/>
          <w:jc w:val="center"/>
          <w:rPr>
            <w:sz w:val="24"/>
            <w:szCs w:val="24"/>
          </w:rPr>
        </w:pPr>
        <w:r w:rsidRPr="00690C82">
          <w:rPr>
            <w:sz w:val="24"/>
            <w:szCs w:val="24"/>
          </w:rPr>
          <w:fldChar w:fldCharType="begin"/>
        </w:r>
        <w:r w:rsidRPr="00690C82">
          <w:rPr>
            <w:sz w:val="24"/>
            <w:szCs w:val="24"/>
          </w:rPr>
          <w:instrText xml:space="preserve"> PAGE   \* MERGEFORMAT </w:instrText>
        </w:r>
        <w:r w:rsidRPr="00690C82">
          <w:rPr>
            <w:sz w:val="24"/>
            <w:szCs w:val="24"/>
          </w:rPr>
          <w:fldChar w:fldCharType="separate"/>
        </w:r>
        <w:r w:rsidRPr="00690C82">
          <w:rPr>
            <w:noProof/>
            <w:sz w:val="24"/>
            <w:szCs w:val="24"/>
          </w:rPr>
          <w:t>2</w:t>
        </w:r>
        <w:r w:rsidRPr="00690C82">
          <w:rPr>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94452201"/>
      <w:docPartObj>
        <w:docPartGallery w:val="Page Numbers (Bottom of Page)"/>
        <w:docPartUnique/>
      </w:docPartObj>
    </w:sdtPr>
    <w:sdtEndPr>
      <w:rPr>
        <w:noProof/>
      </w:rPr>
    </w:sdtEndPr>
    <w:sdtContent>
      <w:p w14:paraId="44CF596C" w14:textId="792FDFA6" w:rsidR="00813E59" w:rsidRPr="00690C82" w:rsidRDefault="00B94FE4" w:rsidP="00690C82">
        <w:pPr>
          <w:pStyle w:val="Footer"/>
          <w:spacing w:line="240" w:lineRule="auto"/>
          <w:ind w:firstLine="0"/>
          <w:jc w:val="center"/>
          <w:rPr>
            <w:sz w:val="24"/>
            <w:szCs w:val="24"/>
          </w:rPr>
        </w:pPr>
        <w:r w:rsidRPr="00690C82">
          <w:rPr>
            <w:sz w:val="24"/>
            <w:szCs w:val="24"/>
          </w:rPr>
          <w:fldChar w:fldCharType="begin"/>
        </w:r>
        <w:r w:rsidRPr="00690C82">
          <w:rPr>
            <w:sz w:val="24"/>
            <w:szCs w:val="24"/>
          </w:rPr>
          <w:instrText xml:space="preserve"> PAGE   \* MERGEFORMAT </w:instrText>
        </w:r>
        <w:r w:rsidRPr="00690C82">
          <w:rPr>
            <w:sz w:val="24"/>
            <w:szCs w:val="24"/>
          </w:rPr>
          <w:fldChar w:fldCharType="separate"/>
        </w:r>
        <w:r w:rsidRPr="00690C82">
          <w:rPr>
            <w:noProof/>
            <w:sz w:val="24"/>
            <w:szCs w:val="24"/>
          </w:rPr>
          <w:t>2</w:t>
        </w:r>
        <w:r w:rsidRPr="00690C82">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636158616"/>
      <w:docPartObj>
        <w:docPartGallery w:val="Page Numbers (Bottom of Page)"/>
        <w:docPartUnique/>
      </w:docPartObj>
    </w:sdtPr>
    <w:sdtEndPr>
      <w:rPr>
        <w:noProof/>
      </w:rPr>
    </w:sdtEndPr>
    <w:sdtContent>
      <w:p w14:paraId="04E754BE" w14:textId="473302E3" w:rsidR="00813E59" w:rsidRPr="00EA2100" w:rsidRDefault="00983B98" w:rsidP="00EA2100">
        <w:pPr>
          <w:pStyle w:val="Footer"/>
          <w:spacing w:line="240" w:lineRule="auto"/>
          <w:ind w:firstLine="0"/>
          <w:jc w:val="center"/>
          <w:rPr>
            <w:sz w:val="24"/>
            <w:szCs w:val="24"/>
          </w:rPr>
        </w:pPr>
        <w:r w:rsidRPr="00EA2100">
          <w:rPr>
            <w:sz w:val="24"/>
            <w:szCs w:val="24"/>
          </w:rPr>
          <w:fldChar w:fldCharType="begin"/>
        </w:r>
        <w:r w:rsidRPr="00EA2100">
          <w:rPr>
            <w:sz w:val="24"/>
            <w:szCs w:val="24"/>
          </w:rPr>
          <w:instrText xml:space="preserve"> PAGE   \* MERGEFORMAT </w:instrText>
        </w:r>
        <w:r w:rsidRPr="00EA2100">
          <w:rPr>
            <w:sz w:val="24"/>
            <w:szCs w:val="24"/>
          </w:rPr>
          <w:fldChar w:fldCharType="separate"/>
        </w:r>
        <w:r w:rsidRPr="00EA2100">
          <w:rPr>
            <w:noProof/>
            <w:sz w:val="24"/>
            <w:szCs w:val="24"/>
          </w:rPr>
          <w:t>2</w:t>
        </w:r>
        <w:r w:rsidRPr="00EA2100">
          <w:rPr>
            <w:noProof/>
            <w:sz w:val="24"/>
            <w:szCs w:val="24"/>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667670268"/>
      <w:docPartObj>
        <w:docPartGallery w:val="Page Numbers (Bottom of Page)"/>
        <w:docPartUnique/>
      </w:docPartObj>
    </w:sdtPr>
    <w:sdtEndPr>
      <w:rPr>
        <w:noProof/>
      </w:rPr>
    </w:sdtEndPr>
    <w:sdtContent>
      <w:p w14:paraId="663059ED" w14:textId="611E9884" w:rsidR="00813E59" w:rsidRPr="00690C82" w:rsidRDefault="00544106" w:rsidP="00690C82">
        <w:pPr>
          <w:pStyle w:val="Footer"/>
          <w:spacing w:line="240" w:lineRule="auto"/>
          <w:ind w:firstLine="0"/>
          <w:jc w:val="center"/>
          <w:rPr>
            <w:sz w:val="24"/>
            <w:szCs w:val="24"/>
          </w:rPr>
        </w:pPr>
        <w:r w:rsidRPr="00690C82">
          <w:rPr>
            <w:sz w:val="24"/>
            <w:szCs w:val="24"/>
          </w:rPr>
          <w:fldChar w:fldCharType="begin"/>
        </w:r>
        <w:r w:rsidRPr="00690C82">
          <w:rPr>
            <w:sz w:val="24"/>
            <w:szCs w:val="24"/>
          </w:rPr>
          <w:instrText xml:space="preserve"> PAGE   \* MERGEFORMAT </w:instrText>
        </w:r>
        <w:r w:rsidRPr="00690C82">
          <w:rPr>
            <w:sz w:val="24"/>
            <w:szCs w:val="24"/>
          </w:rPr>
          <w:fldChar w:fldCharType="separate"/>
        </w:r>
        <w:r w:rsidRPr="00690C82">
          <w:rPr>
            <w:noProof/>
            <w:sz w:val="24"/>
            <w:szCs w:val="24"/>
          </w:rPr>
          <w:t>2</w:t>
        </w:r>
        <w:r w:rsidRPr="00690C82">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CB743" w14:textId="77777777" w:rsidR="00E12489" w:rsidRDefault="00E12489" w:rsidP="00690C82">
      <w:r>
        <w:separator/>
      </w:r>
    </w:p>
  </w:footnote>
  <w:footnote w:type="continuationSeparator" w:id="0">
    <w:p w14:paraId="7860B4C8" w14:textId="77777777" w:rsidR="00E12489" w:rsidRDefault="00E12489" w:rsidP="00690C82">
      <w:r>
        <w:continuationSeparator/>
      </w:r>
    </w:p>
  </w:footnote>
  <w:footnote w:id="1">
    <w:p w14:paraId="17E3899E" w14:textId="77777777" w:rsidR="00EA2100" w:rsidRPr="00EA2100" w:rsidRDefault="00EA2100" w:rsidP="00EA2100">
      <w:pPr>
        <w:pStyle w:val="FootnoteText"/>
        <w:rPr>
          <w:rFonts w:ascii="Arial" w:hAnsi="Arial"/>
          <w:sz w:val="24"/>
          <w:szCs w:val="24"/>
        </w:rPr>
      </w:pPr>
      <w:r w:rsidRPr="00EA2100">
        <w:rPr>
          <w:rStyle w:val="FootnoteReference"/>
          <w:rFonts w:ascii="Arial" w:hAnsi="Arial"/>
          <w:sz w:val="24"/>
          <w:szCs w:val="24"/>
        </w:rPr>
        <w:footnoteRef/>
      </w:r>
      <w:r w:rsidRPr="00EA2100">
        <w:rPr>
          <w:rFonts w:ascii="Arial" w:hAnsi="Arial"/>
          <w:sz w:val="24"/>
          <w:szCs w:val="24"/>
        </w:rPr>
        <w:t xml:space="preserve"> Concurrently, the Board conducted a hearing on ASD’s Motion to Compel Discovery in B.T.A. Docket No. L01863, ASD Specialty Healthcare, LLC v. Timothy T. Lewis, Director, City of Monroe Taxation &amp; Revenue Division, City of Monroe Taxation &amp; Revenue Division.</w:t>
      </w:r>
    </w:p>
  </w:footnote>
  <w:footnote w:id="2">
    <w:p w14:paraId="1AFF4A2F" w14:textId="1B102EC8" w:rsidR="003862D1" w:rsidRPr="00EA2100" w:rsidRDefault="003862D1" w:rsidP="00EA2100">
      <w:pPr>
        <w:pStyle w:val="FootnoteText"/>
        <w:rPr>
          <w:rFonts w:ascii="Arial" w:hAnsi="Arial"/>
          <w:sz w:val="24"/>
          <w:szCs w:val="24"/>
        </w:rPr>
      </w:pPr>
      <w:r w:rsidRPr="00EA2100">
        <w:rPr>
          <w:rStyle w:val="FootnoteReference"/>
          <w:rFonts w:ascii="Arial" w:hAnsi="Arial"/>
          <w:sz w:val="24"/>
          <w:szCs w:val="24"/>
        </w:rPr>
        <w:footnoteRef/>
      </w:r>
      <w:r w:rsidRPr="00EA2100">
        <w:rPr>
          <w:rFonts w:ascii="Arial" w:hAnsi="Arial"/>
          <w:sz w:val="24"/>
          <w:szCs w:val="24"/>
        </w:rPr>
        <w:t xml:space="preserve"> Concurrently, the Board conducted a hearing on ASD’s Motion to </w:t>
      </w:r>
      <w:r w:rsidR="003C32E9" w:rsidRPr="00EA2100">
        <w:rPr>
          <w:rFonts w:ascii="Arial" w:hAnsi="Arial"/>
          <w:sz w:val="24"/>
          <w:szCs w:val="24"/>
        </w:rPr>
        <w:t xml:space="preserve">Compel Discovery </w:t>
      </w:r>
      <w:r w:rsidRPr="00EA2100">
        <w:rPr>
          <w:rFonts w:ascii="Arial" w:hAnsi="Arial"/>
          <w:sz w:val="24"/>
          <w:szCs w:val="24"/>
        </w:rPr>
        <w:t>in B.T.A. Docket No. L01863, ASD Specialty Healthcare, LLC v. Timothy T. Lewis, Director, City of Monroe Taxation &amp; Revenue Division, City of Monroe Taxation &amp; Revenue Division.</w:t>
      </w:r>
    </w:p>
  </w:footnote>
  <w:footnote w:id="3">
    <w:p w14:paraId="6235E3D5" w14:textId="56DF5DEF" w:rsidR="00C563D7" w:rsidRPr="00EA2100" w:rsidRDefault="00C563D7" w:rsidP="00EA2100">
      <w:pPr>
        <w:pStyle w:val="FootnoteText"/>
        <w:rPr>
          <w:rFonts w:ascii="Arial" w:hAnsi="Arial"/>
          <w:sz w:val="24"/>
          <w:szCs w:val="24"/>
        </w:rPr>
      </w:pPr>
      <w:r w:rsidRPr="00EA2100">
        <w:rPr>
          <w:rStyle w:val="FootnoteReference"/>
          <w:rFonts w:ascii="Arial" w:hAnsi="Arial"/>
          <w:sz w:val="24"/>
          <w:szCs w:val="24"/>
        </w:rPr>
        <w:footnoteRef/>
      </w:r>
      <w:r w:rsidRPr="00EA2100">
        <w:rPr>
          <w:rFonts w:ascii="Arial" w:hAnsi="Arial"/>
          <w:sz w:val="24"/>
          <w:szCs w:val="24"/>
        </w:rPr>
        <w:t xml:space="preserve"> On September 14, 2023, Lincoln filed an Answer and Reconventional Demand. In their Reconventional Demand, Lincoln prayed for the liabilities shown in the Assessment, plus further interest accruing during pendency of proceedings, plus 10% statutory attorney’s fees, and other relief under the law. ASD answered Lincoln’s Reconventional Demand on October 5, 2023.</w:t>
      </w:r>
    </w:p>
  </w:footnote>
  <w:footnote w:id="4">
    <w:p w14:paraId="48723EEA" w14:textId="216297C3" w:rsidR="00C563D7" w:rsidRPr="00EA2100" w:rsidRDefault="00C563D7" w:rsidP="00EA2100">
      <w:pPr>
        <w:pStyle w:val="FootnoteText"/>
        <w:rPr>
          <w:rFonts w:ascii="Arial" w:hAnsi="Arial"/>
          <w:sz w:val="24"/>
          <w:szCs w:val="24"/>
        </w:rPr>
      </w:pPr>
      <w:r w:rsidRPr="00EA2100">
        <w:rPr>
          <w:rStyle w:val="FootnoteReference"/>
          <w:rFonts w:ascii="Arial" w:hAnsi="Arial"/>
          <w:sz w:val="24"/>
          <w:szCs w:val="24"/>
        </w:rPr>
        <w:footnoteRef/>
      </w:r>
      <w:r w:rsidRPr="00EA2100">
        <w:rPr>
          <w:rFonts w:ascii="Arial" w:hAnsi="Arial"/>
          <w:sz w:val="24"/>
          <w:szCs w:val="24"/>
        </w:rPr>
        <w:t xml:space="preserve"> </w:t>
      </w:r>
      <w:r w:rsidR="003C32E9" w:rsidRPr="00EA2100">
        <w:rPr>
          <w:rFonts w:ascii="Arial" w:hAnsi="Arial"/>
          <w:sz w:val="24"/>
          <w:szCs w:val="24"/>
        </w:rPr>
        <w:t>D</w:t>
      </w:r>
      <w:r w:rsidRPr="00EA2100">
        <w:rPr>
          <w:rFonts w:ascii="Arial" w:hAnsi="Arial"/>
          <w:sz w:val="24"/>
          <w:szCs w:val="24"/>
        </w:rPr>
        <w:t xml:space="preserve">uring the hearing and during the Deposition of Matthew Wilk on December </w:t>
      </w:r>
      <w:r w:rsidR="00FB67A8" w:rsidRPr="00EA2100">
        <w:rPr>
          <w:rFonts w:ascii="Arial" w:hAnsi="Arial"/>
          <w:sz w:val="24"/>
          <w:szCs w:val="24"/>
        </w:rPr>
        <w:t>9</w:t>
      </w:r>
      <w:r w:rsidRPr="00EA2100">
        <w:rPr>
          <w:rFonts w:ascii="Arial" w:hAnsi="Arial"/>
          <w:sz w:val="24"/>
          <w:szCs w:val="24"/>
        </w:rPr>
        <w:t>, 2025, ASD stipulated that it was waiving its arguments concerning collective nexus and undue burdens on interstate commerce.</w:t>
      </w:r>
    </w:p>
  </w:footnote>
  <w:footnote w:id="5">
    <w:p w14:paraId="61E47D5C" w14:textId="5E64C8D0" w:rsidR="00C563D7" w:rsidRPr="00EA2100" w:rsidRDefault="00C563D7" w:rsidP="00EA2100">
      <w:pPr>
        <w:pStyle w:val="FootnoteText"/>
        <w:rPr>
          <w:rFonts w:ascii="Arial" w:hAnsi="Arial"/>
          <w:sz w:val="24"/>
          <w:szCs w:val="24"/>
        </w:rPr>
      </w:pPr>
      <w:r w:rsidRPr="00EA2100">
        <w:rPr>
          <w:rStyle w:val="FootnoteReference"/>
          <w:rFonts w:ascii="Arial" w:hAnsi="Arial"/>
          <w:sz w:val="24"/>
          <w:szCs w:val="24"/>
        </w:rPr>
        <w:footnoteRef/>
      </w:r>
      <w:r w:rsidRPr="00EA2100">
        <w:rPr>
          <w:rFonts w:ascii="Arial" w:hAnsi="Arial"/>
          <w:sz w:val="24"/>
          <w:szCs w:val="24"/>
        </w:rPr>
        <w:t xml:space="preserve"> Petition, Paragraph 43.</w:t>
      </w:r>
    </w:p>
  </w:footnote>
  <w:footnote w:id="6">
    <w:p w14:paraId="2423749E" w14:textId="5B78BD82" w:rsidR="00454BAA" w:rsidRPr="00EA2100" w:rsidRDefault="00454BAA" w:rsidP="00EA2100">
      <w:pPr>
        <w:pStyle w:val="FootnoteText"/>
        <w:rPr>
          <w:rFonts w:ascii="Arial" w:hAnsi="Arial"/>
          <w:sz w:val="24"/>
          <w:szCs w:val="24"/>
        </w:rPr>
      </w:pPr>
      <w:r w:rsidRPr="00EA2100">
        <w:rPr>
          <w:rStyle w:val="FootnoteReference"/>
          <w:rFonts w:ascii="Arial" w:hAnsi="Arial"/>
          <w:sz w:val="24"/>
          <w:szCs w:val="24"/>
        </w:rPr>
        <w:footnoteRef/>
      </w:r>
      <w:r w:rsidRPr="00EA2100">
        <w:rPr>
          <w:rFonts w:ascii="Arial" w:hAnsi="Arial"/>
          <w:sz w:val="24"/>
          <w:szCs w:val="24"/>
        </w:rPr>
        <w:t xml:space="preserve"> Lincoln also propounded Requests for Admissions. ASD responded to the Requests for Admissions, and that element of Lincoln’s discovery requests was not at issue in Lincoln’s Motion to Compel.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35E99" w14:textId="77777777" w:rsidR="00813E59" w:rsidRDefault="00813E59" w:rsidP="00690C8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47627" w14:textId="77777777" w:rsidR="00813E59" w:rsidRDefault="00813E59" w:rsidP="00690C8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E59"/>
    <w:rsid w:val="000008D3"/>
    <w:rsid w:val="000A44E9"/>
    <w:rsid w:val="000C35D6"/>
    <w:rsid w:val="00143F63"/>
    <w:rsid w:val="00204DB4"/>
    <w:rsid w:val="00205844"/>
    <w:rsid w:val="002214ED"/>
    <w:rsid w:val="002A0E36"/>
    <w:rsid w:val="002B1CF1"/>
    <w:rsid w:val="002D6DD7"/>
    <w:rsid w:val="00346D7C"/>
    <w:rsid w:val="00351FE5"/>
    <w:rsid w:val="003862D1"/>
    <w:rsid w:val="003B3ABB"/>
    <w:rsid w:val="003C32E9"/>
    <w:rsid w:val="00454BAA"/>
    <w:rsid w:val="00492C2E"/>
    <w:rsid w:val="0053598D"/>
    <w:rsid w:val="00544106"/>
    <w:rsid w:val="0066447B"/>
    <w:rsid w:val="00690C82"/>
    <w:rsid w:val="007B0BEC"/>
    <w:rsid w:val="007F06F0"/>
    <w:rsid w:val="00813E59"/>
    <w:rsid w:val="00831D38"/>
    <w:rsid w:val="0090640C"/>
    <w:rsid w:val="009472F7"/>
    <w:rsid w:val="00983B98"/>
    <w:rsid w:val="00992296"/>
    <w:rsid w:val="009D45E1"/>
    <w:rsid w:val="00A47825"/>
    <w:rsid w:val="00AA0E83"/>
    <w:rsid w:val="00AB643D"/>
    <w:rsid w:val="00B44DC4"/>
    <w:rsid w:val="00B62737"/>
    <w:rsid w:val="00B94FE4"/>
    <w:rsid w:val="00BE318F"/>
    <w:rsid w:val="00C36D90"/>
    <w:rsid w:val="00C563D7"/>
    <w:rsid w:val="00C627B5"/>
    <w:rsid w:val="00CD01CF"/>
    <w:rsid w:val="00CF4DB9"/>
    <w:rsid w:val="00D24662"/>
    <w:rsid w:val="00D406DC"/>
    <w:rsid w:val="00DF35B0"/>
    <w:rsid w:val="00E12489"/>
    <w:rsid w:val="00EA2100"/>
    <w:rsid w:val="00EC75CD"/>
    <w:rsid w:val="00FB6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D53118"/>
  <w15:docId w15:val="{C3DF9AF6-BEC0-4C26-BDBE-D8477D95D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C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480" w:lineRule="auto"/>
      <w:ind w:firstLine="720"/>
    </w:pPr>
    <w:rPr>
      <w:rFonts w:ascii="Arial" w:hAnsi="Arial" w:cs="Arial"/>
      <w:sz w:val="28"/>
      <w:szCs w:val="28"/>
    </w:rPr>
  </w:style>
  <w:style w:type="paragraph" w:styleId="Heading1">
    <w:name w:val="heading 1"/>
    <w:basedOn w:val="Normal"/>
    <w:next w:val="Normal"/>
    <w:link w:val="Heading1Char"/>
    <w:uiPriority w:val="9"/>
    <w:qFormat/>
    <w:rsid w:val="00690C82"/>
    <w:pPr>
      <w:ind w:firstLine="0"/>
      <w:outlineLvl w:val="0"/>
    </w:pPr>
    <w:rPr>
      <w:rFonts w:eastAsia="Calibri"/>
      <w:b/>
      <w:bCs/>
    </w:rPr>
  </w:style>
  <w:style w:type="paragraph" w:styleId="Heading2">
    <w:name w:val="heading 2"/>
    <w:basedOn w:val="Normal"/>
    <w:next w:val="Normal"/>
    <w:link w:val="Heading2Char"/>
    <w:uiPriority w:val="9"/>
    <w:unhideWhenUsed/>
    <w:qFormat/>
    <w:rsid w:val="00690C82"/>
    <w:pPr>
      <w:outlineLvl w:val="1"/>
    </w:pPr>
    <w:rPr>
      <w:b/>
      <w:bCs/>
    </w:rPr>
  </w:style>
  <w:style w:type="paragraph" w:styleId="Heading3">
    <w:name w:val="heading 3"/>
    <w:basedOn w:val="Normal"/>
    <w:next w:val="Normal"/>
    <w:link w:val="Heading3Char"/>
    <w:uiPriority w:val="9"/>
    <w:unhideWhenUsed/>
    <w:qFormat/>
    <w:rsid w:val="00690C82"/>
    <w:pPr>
      <w:outlineLvl w:val="2"/>
    </w:pPr>
    <w:rPr>
      <w:rFonts w:eastAsia="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
    <w:name w:val="Default Para"/>
    <w:basedOn w:val="DefaultParagraphFont"/>
    <w:rPr>
      <w:sz w:val="20"/>
    </w:rPr>
  </w:style>
  <w:style w:type="paragraph" w:customStyle="1" w:styleId="L1-1">
    <w:name w:val="L1-1"/>
    <w:basedOn w:val="Normal"/>
    <w:pPr>
      <w:widowControl w:val="0"/>
      <w:ind w:left="720" w:hanging="360"/>
    </w:pPr>
    <w:rPr>
      <w:rFonts w:ascii="Calibri" w:hAnsi="Calibri"/>
    </w:rPr>
  </w:style>
  <w:style w:type="paragraph" w:customStyle="1" w:styleId="L1-2">
    <w:name w:val="L1-2"/>
    <w:basedOn w:val="Normal"/>
    <w:pPr>
      <w:widowControl w:val="0"/>
      <w:ind w:left="1440" w:hanging="360"/>
    </w:pPr>
    <w:rPr>
      <w:rFonts w:ascii="Calibri" w:hAnsi="Calibri"/>
    </w:rPr>
  </w:style>
  <w:style w:type="paragraph" w:customStyle="1" w:styleId="L1-3">
    <w:name w:val="L1-3"/>
    <w:basedOn w:val="Normal"/>
    <w:pPr>
      <w:widowControl w:val="0"/>
      <w:ind w:left="2160" w:hanging="360"/>
    </w:pPr>
    <w:rPr>
      <w:rFonts w:ascii="Calibri" w:hAnsi="Calibri"/>
    </w:rPr>
  </w:style>
  <w:style w:type="paragraph" w:customStyle="1" w:styleId="L1-4">
    <w:name w:val="L1-4"/>
    <w:basedOn w:val="Normal"/>
    <w:pPr>
      <w:widowControl w:val="0"/>
      <w:ind w:left="2880" w:hanging="360"/>
    </w:pPr>
    <w:rPr>
      <w:rFonts w:ascii="Calibri" w:hAnsi="Calibri"/>
    </w:rPr>
  </w:style>
  <w:style w:type="paragraph" w:customStyle="1" w:styleId="L1-5">
    <w:name w:val="L1-5"/>
    <w:basedOn w:val="Normal"/>
    <w:pPr>
      <w:widowControl w:val="0"/>
      <w:ind w:left="3600" w:hanging="360"/>
    </w:pPr>
    <w:rPr>
      <w:rFonts w:ascii="Calibri" w:hAnsi="Calibri"/>
    </w:rPr>
  </w:style>
  <w:style w:type="paragraph" w:customStyle="1" w:styleId="L1-6">
    <w:name w:val="L1-6"/>
    <w:basedOn w:val="Normal"/>
    <w:pPr>
      <w:widowControl w:val="0"/>
      <w:ind w:left="4320" w:hanging="360"/>
    </w:pPr>
    <w:rPr>
      <w:rFonts w:ascii="Calibri" w:hAnsi="Calibri"/>
    </w:rPr>
  </w:style>
  <w:style w:type="paragraph" w:customStyle="1" w:styleId="L1-7">
    <w:name w:val="L1-7"/>
    <w:basedOn w:val="Normal"/>
    <w:pPr>
      <w:widowControl w:val="0"/>
      <w:ind w:left="5040" w:hanging="360"/>
    </w:pPr>
    <w:rPr>
      <w:rFonts w:ascii="Calibri" w:hAnsi="Calibri"/>
    </w:rPr>
  </w:style>
  <w:style w:type="paragraph" w:customStyle="1" w:styleId="L1-8">
    <w:name w:val="L1-8"/>
    <w:basedOn w:val="Normal"/>
    <w:pPr>
      <w:widowControl w:val="0"/>
      <w:ind w:left="5760" w:hanging="360"/>
    </w:pPr>
    <w:rPr>
      <w:rFonts w:ascii="Calibri" w:hAnsi="Calibri"/>
    </w:rPr>
  </w:style>
  <w:style w:type="paragraph" w:customStyle="1" w:styleId="L1-9">
    <w:name w:val="L1-9"/>
    <w:basedOn w:val="Normal"/>
    <w:pPr>
      <w:widowControl w:val="0"/>
      <w:ind w:left="6480" w:hanging="360"/>
    </w:pPr>
    <w:rPr>
      <w:rFonts w:ascii="Calibri" w:hAnsi="Calibri"/>
    </w:rPr>
  </w:style>
  <w:style w:type="paragraph" w:customStyle="1" w:styleId="BalloonTex1">
    <w:name w:val="Balloon Tex1"/>
    <w:basedOn w:val="Normal"/>
    <w:pPr>
      <w:widowControl w:val="0"/>
    </w:pPr>
    <w:rPr>
      <w:rFonts w:ascii="Segoe UI" w:hAnsi="Segoe UI"/>
      <w:sz w:val="18"/>
    </w:rPr>
  </w:style>
  <w:style w:type="character" w:customStyle="1" w:styleId="BalloonText1">
    <w:name w:val="Balloon Text1"/>
    <w:basedOn w:val="DefaultParagraphFont"/>
    <w:rPr>
      <w:rFonts w:ascii="Segoe UI" w:hAnsi="Segoe UI"/>
      <w:sz w:val="18"/>
    </w:rPr>
  </w:style>
  <w:style w:type="character" w:customStyle="1" w:styleId="DefaultPara0">
    <w:name w:val="Default Para_0"/>
    <w:basedOn w:val="DefaultParagraphFont"/>
  </w:style>
  <w:style w:type="paragraph" w:customStyle="1" w:styleId="Footer1">
    <w:name w:val="Footer1"/>
    <w:basedOn w:val="Normal"/>
    <w:pPr>
      <w:widowControl w:val="0"/>
      <w:tabs>
        <w:tab w:val="center" w:pos="4680"/>
        <w:tab w:val="right" w:pos="9359"/>
      </w:tabs>
    </w:pPr>
    <w:rPr>
      <w:rFonts w:ascii="Calibri" w:hAnsi="Calibri"/>
    </w:rPr>
  </w:style>
  <w:style w:type="character" w:customStyle="1" w:styleId="FooterChar">
    <w:name w:val="Footer Char"/>
    <w:basedOn w:val="DefaultParagraphFont"/>
    <w:uiPriority w:val="99"/>
  </w:style>
  <w:style w:type="character" w:customStyle="1" w:styleId="FootnoteRef">
    <w:name w:val="Footnote Ref"/>
    <w:basedOn w:val="DefaultParagraphFont"/>
    <w:rPr>
      <w:vertAlign w:val="superscript"/>
    </w:rPr>
  </w:style>
  <w:style w:type="character" w:styleId="FootnoteReference">
    <w:name w:val="footnote reference"/>
    <w:basedOn w:val="DefaultParagraphFont"/>
    <w:uiPriority w:val="99"/>
    <w:rPr>
      <w:vertAlign w:val="superscript"/>
    </w:rPr>
  </w:style>
  <w:style w:type="character" w:customStyle="1" w:styleId="footnotere1">
    <w:name w:val="footnote re1"/>
    <w:basedOn w:val="DefaultParagraphFont"/>
    <w:rPr>
      <w:vertAlign w:val="superscript"/>
    </w:rPr>
  </w:style>
  <w:style w:type="paragraph" w:customStyle="1" w:styleId="FootnoteTex">
    <w:name w:val="Footnote Tex"/>
    <w:basedOn w:val="Normal"/>
    <w:pPr>
      <w:widowControl w:val="0"/>
    </w:pPr>
    <w:rPr>
      <w:rFonts w:ascii="Calibri" w:hAnsi="Calibri"/>
      <w:sz w:val="20"/>
    </w:rPr>
  </w:style>
  <w:style w:type="paragraph" w:styleId="FootnoteText">
    <w:name w:val="footnote text"/>
    <w:basedOn w:val="Normal"/>
    <w:link w:val="FootnoteTextChar"/>
    <w:uiPriority w:val="99"/>
    <w:pPr>
      <w:widowControl w:val="0"/>
    </w:pPr>
    <w:rPr>
      <w:rFonts w:ascii="Calibri" w:hAnsi="Calibri"/>
      <w:sz w:val="20"/>
    </w:rPr>
  </w:style>
  <w:style w:type="paragraph" w:customStyle="1" w:styleId="footnotete1">
    <w:name w:val="footnote te1"/>
    <w:basedOn w:val="Normal"/>
    <w:pPr>
      <w:widowControl w:val="0"/>
    </w:pPr>
    <w:rPr>
      <w:rFonts w:ascii="Calibri" w:hAnsi="Calibri"/>
      <w:sz w:val="20"/>
    </w:rPr>
  </w:style>
  <w:style w:type="character" w:customStyle="1" w:styleId="FootnoteTex0">
    <w:name w:val="Footnote Tex_0"/>
    <w:basedOn w:val="DefaultParagraphFont"/>
    <w:rPr>
      <w:sz w:val="20"/>
    </w:rPr>
  </w:style>
  <w:style w:type="paragraph" w:customStyle="1" w:styleId="Header1">
    <w:name w:val="Header1"/>
    <w:basedOn w:val="Normal"/>
    <w:pPr>
      <w:widowControl w:val="0"/>
      <w:tabs>
        <w:tab w:val="center" w:pos="4680"/>
        <w:tab w:val="right" w:pos="9359"/>
      </w:tabs>
    </w:pPr>
    <w:rPr>
      <w:rFonts w:ascii="Calibri" w:hAnsi="Calibri"/>
    </w:rPr>
  </w:style>
  <w:style w:type="character" w:customStyle="1" w:styleId="HeaderChar">
    <w:name w:val="Header Char"/>
    <w:basedOn w:val="DefaultParagraphFont"/>
  </w:style>
  <w:style w:type="character" w:customStyle="1" w:styleId="WPHyperlink">
    <w:name w:val="WP_Hyperlink"/>
    <w:basedOn w:val="DefaultParagraphFont"/>
    <w:rPr>
      <w:color w:val="008080"/>
      <w:u w:val="single"/>
    </w:rPr>
  </w:style>
  <w:style w:type="paragraph" w:customStyle="1" w:styleId="ListParagra">
    <w:name w:val="List Paragra"/>
    <w:basedOn w:val="Normal"/>
    <w:pPr>
      <w:widowControl w:val="0"/>
      <w:ind w:left="720"/>
    </w:pPr>
    <w:rPr>
      <w:rFonts w:ascii="Calibri" w:hAnsi="Calibri"/>
    </w:rPr>
  </w:style>
  <w:style w:type="character" w:customStyle="1" w:styleId="NoList1">
    <w:name w:val="No List1"/>
    <w:basedOn w:val="DefaultParagraphFont"/>
  </w:style>
  <w:style w:type="character" w:customStyle="1" w:styleId="PageNumber1">
    <w:name w:val="Page Number1"/>
    <w:basedOn w:val="DefaultParagraphFont"/>
  </w:style>
  <w:style w:type="paragraph" w:customStyle="1" w:styleId="26">
    <w:name w:val="_26"/>
    <w:basedOn w:val="Normal"/>
    <w:pPr>
      <w:widowControl w:val="0"/>
    </w:pPr>
  </w:style>
  <w:style w:type="paragraph" w:customStyle="1" w:styleId="25">
    <w:name w:val="_25"/>
    <w:basedOn w:val="Normal"/>
    <w:pPr>
      <w:widowControl w:val="0"/>
      <w:ind w:left="1440" w:hanging="720"/>
    </w:pPr>
  </w:style>
  <w:style w:type="paragraph" w:customStyle="1" w:styleId="24">
    <w:name w:val="_24"/>
    <w:basedOn w:val="Normal"/>
    <w:pPr>
      <w:widowControl w:val="0"/>
      <w:ind w:left="2160"/>
    </w:pPr>
  </w:style>
  <w:style w:type="paragraph" w:customStyle="1" w:styleId="23">
    <w:name w:val="_23"/>
    <w:basedOn w:val="Normal"/>
    <w:pPr>
      <w:widowControl w:val="0"/>
      <w:ind w:left="2880"/>
    </w:pPr>
  </w:style>
  <w:style w:type="paragraph" w:customStyle="1" w:styleId="22">
    <w:name w:val="_22"/>
    <w:basedOn w:val="Normal"/>
    <w:pPr>
      <w:widowControl w:val="0"/>
      <w:ind w:left="3600"/>
    </w:pPr>
  </w:style>
  <w:style w:type="paragraph" w:customStyle="1" w:styleId="21">
    <w:name w:val="_21"/>
    <w:basedOn w:val="Normal"/>
    <w:pPr>
      <w:widowControl w:val="0"/>
      <w:ind w:left="4320"/>
    </w:pPr>
  </w:style>
  <w:style w:type="paragraph" w:customStyle="1" w:styleId="20">
    <w:name w:val="_20"/>
    <w:basedOn w:val="Normal"/>
    <w:pPr>
      <w:widowControl w:val="0"/>
      <w:ind w:left="5040"/>
    </w:pPr>
  </w:style>
  <w:style w:type="paragraph" w:customStyle="1" w:styleId="19">
    <w:name w:val="_19"/>
    <w:basedOn w:val="Normal"/>
    <w:pPr>
      <w:widowControl w:val="0"/>
      <w:ind w:left="5760"/>
    </w:pPr>
  </w:style>
  <w:style w:type="paragraph" w:customStyle="1" w:styleId="18">
    <w:name w:val="_18"/>
    <w:basedOn w:val="Normal"/>
    <w:pPr>
      <w:widowControl w:val="0"/>
      <w:ind w:left="6480"/>
    </w:pPr>
  </w:style>
  <w:style w:type="paragraph" w:customStyle="1" w:styleId="17">
    <w:name w:val="_17"/>
    <w:basedOn w:val="Normal"/>
    <w:pPr>
      <w:widowControl w:val="0"/>
    </w:pPr>
  </w:style>
  <w:style w:type="paragraph" w:customStyle="1" w:styleId="16">
    <w:name w:val="_16"/>
    <w:basedOn w:val="Normal"/>
    <w:pPr>
      <w:widowControl w:val="0"/>
      <w:ind w:left="1440" w:hanging="720"/>
    </w:pPr>
  </w:style>
  <w:style w:type="paragraph" w:customStyle="1" w:styleId="15">
    <w:name w:val="_15"/>
    <w:basedOn w:val="Normal"/>
    <w:pPr>
      <w:widowControl w:val="0"/>
      <w:ind w:left="2160"/>
    </w:pPr>
  </w:style>
  <w:style w:type="paragraph" w:customStyle="1" w:styleId="14">
    <w:name w:val="_14"/>
    <w:basedOn w:val="Normal"/>
    <w:pPr>
      <w:widowControl w:val="0"/>
      <w:ind w:left="2880"/>
    </w:pPr>
  </w:style>
  <w:style w:type="paragraph" w:customStyle="1" w:styleId="13">
    <w:name w:val="_13"/>
    <w:basedOn w:val="Normal"/>
    <w:pPr>
      <w:widowControl w:val="0"/>
      <w:ind w:left="3600"/>
    </w:pPr>
  </w:style>
  <w:style w:type="paragraph" w:customStyle="1" w:styleId="12">
    <w:name w:val="_12"/>
    <w:basedOn w:val="Normal"/>
    <w:pPr>
      <w:widowControl w:val="0"/>
      <w:ind w:left="4320"/>
    </w:pPr>
  </w:style>
  <w:style w:type="paragraph" w:customStyle="1" w:styleId="11">
    <w:name w:val="_11"/>
    <w:basedOn w:val="Normal"/>
    <w:pPr>
      <w:widowControl w:val="0"/>
      <w:ind w:left="5040"/>
    </w:pPr>
  </w:style>
  <w:style w:type="paragraph" w:customStyle="1" w:styleId="10">
    <w:name w:val="_10"/>
    <w:basedOn w:val="Normal"/>
    <w:pPr>
      <w:widowControl w:val="0"/>
      <w:ind w:left="5760"/>
    </w:pPr>
  </w:style>
  <w:style w:type="paragraph" w:customStyle="1" w:styleId="9">
    <w:name w:val="_9"/>
    <w:basedOn w:val="Normal"/>
    <w:pPr>
      <w:widowControl w:val="0"/>
      <w:ind w:left="6480"/>
    </w:pPr>
  </w:style>
  <w:style w:type="paragraph" w:customStyle="1" w:styleId="8">
    <w:name w:val="_8"/>
    <w:basedOn w:val="Normal"/>
    <w:pPr>
      <w:widowControl w:val="0"/>
    </w:pPr>
  </w:style>
  <w:style w:type="paragraph" w:customStyle="1" w:styleId="7">
    <w:name w:val="_7"/>
    <w:basedOn w:val="Normal"/>
    <w:pPr>
      <w:widowControl w:val="0"/>
      <w:ind w:left="1440" w:hanging="720"/>
    </w:pPr>
  </w:style>
  <w:style w:type="paragraph" w:customStyle="1" w:styleId="6">
    <w:name w:val="_6"/>
    <w:basedOn w:val="Normal"/>
    <w:pPr>
      <w:widowControl w:val="0"/>
      <w:ind w:left="2160"/>
    </w:pPr>
  </w:style>
  <w:style w:type="paragraph" w:customStyle="1" w:styleId="5">
    <w:name w:val="_5"/>
    <w:basedOn w:val="Normal"/>
    <w:pPr>
      <w:widowControl w:val="0"/>
      <w:ind w:left="2880"/>
    </w:pPr>
  </w:style>
  <w:style w:type="paragraph" w:customStyle="1" w:styleId="4">
    <w:name w:val="_4"/>
    <w:basedOn w:val="Normal"/>
    <w:pPr>
      <w:widowControl w:val="0"/>
      <w:ind w:left="3600"/>
    </w:pPr>
  </w:style>
  <w:style w:type="paragraph" w:customStyle="1" w:styleId="3">
    <w:name w:val="_3"/>
    <w:basedOn w:val="Normal"/>
    <w:pPr>
      <w:widowControl w:val="0"/>
      <w:ind w:left="4320"/>
    </w:pPr>
  </w:style>
  <w:style w:type="paragraph" w:customStyle="1" w:styleId="2">
    <w:name w:val="_2"/>
    <w:basedOn w:val="Normal"/>
    <w:pPr>
      <w:widowControl w:val="0"/>
      <w:ind w:left="5040"/>
    </w:pPr>
  </w:style>
  <w:style w:type="paragraph" w:customStyle="1" w:styleId="1">
    <w:name w:val="_1"/>
    <w:basedOn w:val="Normal"/>
    <w:pPr>
      <w:widowControl w:val="0"/>
      <w:ind w:left="5760"/>
    </w:pPr>
  </w:style>
  <w:style w:type="paragraph" w:customStyle="1" w:styleId="a">
    <w:name w:val="_"/>
    <w:basedOn w:val="Normal"/>
    <w:pPr>
      <w:widowControl w:val="0"/>
      <w:ind w:left="6480"/>
    </w:pPr>
  </w:style>
  <w:style w:type="paragraph" w:styleId="Header">
    <w:name w:val="header"/>
    <w:basedOn w:val="Normal"/>
    <w:link w:val="HeaderChar1"/>
    <w:uiPriority w:val="99"/>
    <w:unhideWhenUsed/>
    <w:rsid w:val="00544106"/>
    <w:pPr>
      <w:tabs>
        <w:tab w:val="clear" w:pos="9359"/>
        <w:tab w:val="center" w:pos="4680"/>
        <w:tab w:val="right" w:pos="9360"/>
      </w:tabs>
    </w:pPr>
  </w:style>
  <w:style w:type="character" w:customStyle="1" w:styleId="HeaderChar1">
    <w:name w:val="Header Char1"/>
    <w:basedOn w:val="DefaultParagraphFont"/>
    <w:link w:val="Header"/>
    <w:uiPriority w:val="99"/>
    <w:rsid w:val="00544106"/>
    <w:rPr>
      <w:sz w:val="24"/>
    </w:rPr>
  </w:style>
  <w:style w:type="paragraph" w:styleId="Footer">
    <w:name w:val="footer"/>
    <w:basedOn w:val="Normal"/>
    <w:link w:val="FooterChar1"/>
    <w:uiPriority w:val="99"/>
    <w:unhideWhenUsed/>
    <w:rsid w:val="00544106"/>
    <w:pPr>
      <w:tabs>
        <w:tab w:val="clear" w:pos="9359"/>
        <w:tab w:val="center" w:pos="4680"/>
        <w:tab w:val="right" w:pos="9360"/>
      </w:tabs>
    </w:pPr>
  </w:style>
  <w:style w:type="character" w:customStyle="1" w:styleId="FooterChar1">
    <w:name w:val="Footer Char1"/>
    <w:basedOn w:val="DefaultParagraphFont"/>
    <w:link w:val="Footer"/>
    <w:uiPriority w:val="99"/>
    <w:rsid w:val="00544106"/>
    <w:rPr>
      <w:sz w:val="24"/>
    </w:rPr>
  </w:style>
  <w:style w:type="character" w:customStyle="1" w:styleId="FootnoteTextChar">
    <w:name w:val="Footnote Text Char"/>
    <w:basedOn w:val="DefaultParagraphFont"/>
    <w:link w:val="FootnoteText"/>
    <w:uiPriority w:val="99"/>
    <w:rsid w:val="00544106"/>
    <w:rPr>
      <w:rFonts w:ascii="Calibri" w:hAnsi="Calibri"/>
    </w:rPr>
  </w:style>
  <w:style w:type="paragraph" w:styleId="NormalWeb">
    <w:name w:val="Normal (Web)"/>
    <w:basedOn w:val="Normal"/>
    <w:uiPriority w:val="99"/>
    <w:unhideWhenUsed/>
    <w:rsid w:val="00205844"/>
    <w:pPr>
      <w:spacing w:before="100" w:beforeAutospacing="1" w:after="100" w:afterAutospacing="1"/>
    </w:pPr>
    <w:rPr>
      <w:szCs w:val="24"/>
    </w:rPr>
  </w:style>
  <w:style w:type="paragraph" w:styleId="Revision">
    <w:name w:val="Revision"/>
    <w:hidden/>
    <w:uiPriority w:val="99"/>
    <w:semiHidden/>
    <w:rsid w:val="007B0BEC"/>
    <w:rPr>
      <w:sz w:val="24"/>
    </w:rPr>
  </w:style>
  <w:style w:type="character" w:styleId="CommentReference">
    <w:name w:val="annotation reference"/>
    <w:basedOn w:val="DefaultParagraphFont"/>
    <w:uiPriority w:val="99"/>
    <w:semiHidden/>
    <w:unhideWhenUsed/>
    <w:rsid w:val="000A44E9"/>
    <w:rPr>
      <w:sz w:val="16"/>
      <w:szCs w:val="16"/>
    </w:rPr>
  </w:style>
  <w:style w:type="paragraph" w:styleId="CommentText">
    <w:name w:val="annotation text"/>
    <w:basedOn w:val="Normal"/>
    <w:link w:val="CommentTextChar"/>
    <w:uiPriority w:val="99"/>
    <w:unhideWhenUsed/>
    <w:rsid w:val="000A44E9"/>
    <w:rPr>
      <w:sz w:val="20"/>
    </w:rPr>
  </w:style>
  <w:style w:type="character" w:customStyle="1" w:styleId="CommentTextChar">
    <w:name w:val="Comment Text Char"/>
    <w:basedOn w:val="DefaultParagraphFont"/>
    <w:link w:val="CommentText"/>
    <w:uiPriority w:val="99"/>
    <w:rsid w:val="000A44E9"/>
  </w:style>
  <w:style w:type="paragraph" w:styleId="CommentSubject">
    <w:name w:val="annotation subject"/>
    <w:basedOn w:val="CommentText"/>
    <w:next w:val="CommentText"/>
    <w:link w:val="CommentSubjectChar"/>
    <w:uiPriority w:val="99"/>
    <w:semiHidden/>
    <w:unhideWhenUsed/>
    <w:rsid w:val="000A44E9"/>
    <w:rPr>
      <w:b/>
      <w:bCs/>
    </w:rPr>
  </w:style>
  <w:style w:type="character" w:customStyle="1" w:styleId="CommentSubjectChar">
    <w:name w:val="Comment Subject Char"/>
    <w:basedOn w:val="CommentTextChar"/>
    <w:link w:val="CommentSubject"/>
    <w:uiPriority w:val="99"/>
    <w:semiHidden/>
    <w:rsid w:val="000A44E9"/>
    <w:rPr>
      <w:b/>
      <w:bCs/>
    </w:rPr>
  </w:style>
  <w:style w:type="character" w:customStyle="1" w:styleId="Heading1Char">
    <w:name w:val="Heading 1 Char"/>
    <w:basedOn w:val="DefaultParagraphFont"/>
    <w:link w:val="Heading1"/>
    <w:uiPriority w:val="9"/>
    <w:rsid w:val="00690C82"/>
    <w:rPr>
      <w:rFonts w:ascii="Arial" w:eastAsia="Calibri" w:hAnsi="Arial" w:cs="Arial"/>
      <w:b/>
      <w:bCs/>
      <w:sz w:val="28"/>
      <w:szCs w:val="28"/>
    </w:rPr>
  </w:style>
  <w:style w:type="character" w:customStyle="1" w:styleId="Heading2Char">
    <w:name w:val="Heading 2 Char"/>
    <w:basedOn w:val="DefaultParagraphFont"/>
    <w:link w:val="Heading2"/>
    <w:uiPriority w:val="9"/>
    <w:rsid w:val="00690C82"/>
    <w:rPr>
      <w:rFonts w:ascii="Arial" w:hAnsi="Arial" w:cs="Arial"/>
      <w:b/>
      <w:bCs/>
      <w:sz w:val="28"/>
      <w:szCs w:val="28"/>
    </w:rPr>
  </w:style>
  <w:style w:type="character" w:customStyle="1" w:styleId="Heading3Char">
    <w:name w:val="Heading 3 Char"/>
    <w:basedOn w:val="DefaultParagraphFont"/>
    <w:link w:val="Heading3"/>
    <w:uiPriority w:val="9"/>
    <w:rsid w:val="00690C82"/>
    <w:rPr>
      <w:rFonts w:ascii="Arial" w:eastAsia="Calibri" w:hAnsi="Arial" w:cs="Arial"/>
      <w:b/>
      <w:bCs/>
      <w:sz w:val="28"/>
      <w:szCs w:val="28"/>
    </w:rPr>
  </w:style>
  <w:style w:type="paragraph" w:styleId="Quote">
    <w:name w:val="Quote"/>
    <w:basedOn w:val="NormalWeb"/>
    <w:next w:val="Normal"/>
    <w:link w:val="QuoteChar"/>
    <w:uiPriority w:val="29"/>
    <w:qFormat/>
    <w:rsid w:val="00DF35B0"/>
    <w:pPr>
      <w:spacing w:line="360" w:lineRule="auto"/>
      <w:ind w:left="720" w:right="720" w:firstLine="0"/>
      <w:jc w:val="both"/>
    </w:pPr>
  </w:style>
  <w:style w:type="character" w:customStyle="1" w:styleId="QuoteChar">
    <w:name w:val="Quote Char"/>
    <w:basedOn w:val="DefaultParagraphFont"/>
    <w:link w:val="Quote"/>
    <w:uiPriority w:val="29"/>
    <w:rsid w:val="00DF35B0"/>
    <w:rPr>
      <w:rFonts w:ascii="Arial" w:hAnsi="Arial" w:cs="Arial"/>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D72E72DAECA94E95F9D13D0C953D32" ma:contentTypeVersion="16" ma:contentTypeDescription="Create a new document." ma:contentTypeScope="" ma:versionID="808d9bf343b81f46ef89e47af0c97f04">
  <xsd:schema xmlns:xsd="http://www.w3.org/2001/XMLSchema" xmlns:xs="http://www.w3.org/2001/XMLSchema" xmlns:p="http://schemas.microsoft.com/office/2006/metadata/properties" xmlns:ns3="ee538fcc-2ee6-431c-a7c7-45ae9a89989a" xmlns:ns4="10ff9da7-7829-4404-895b-418e8046d3d3" targetNamespace="http://schemas.microsoft.com/office/2006/metadata/properties" ma:root="true" ma:fieldsID="6347d39ea5a755decf57435e14ab7722" ns3:_="" ns4:_="">
    <xsd:import namespace="ee538fcc-2ee6-431c-a7c7-45ae9a89989a"/>
    <xsd:import namespace="10ff9da7-7829-4404-895b-418e8046d3d3"/>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LengthInSeconds" minOccurs="0"/>
                <xsd:element ref="ns3:MediaServiceGenerationTime" minOccurs="0"/>
                <xsd:element ref="ns3:MediaServiceEventHashCode" minOccurs="0"/>
                <xsd:element ref="ns3:MediaServiceDateTaken" minOccurs="0"/>
                <xsd:element ref="ns3:MediaServiceAutoTags" minOccurs="0"/>
                <xsd:element ref="ns3:MediaServiceSearchProperties" minOccurs="0"/>
                <xsd:element ref="ns3:MediaServiceSystem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38fcc-2ee6-431c-a7c7-45ae9a8998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ff9da7-7829-4404-895b-418e8046d3d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e538fcc-2ee6-431c-a7c7-45ae9a89989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553C0-4089-464D-9563-8FD1978CB5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538fcc-2ee6-431c-a7c7-45ae9a89989a"/>
    <ds:schemaRef ds:uri="10ff9da7-7829-4404-895b-418e8046d3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39EF9D-EB92-44DA-AE5F-7BC8D4B1A19F}">
  <ds:schemaRefs>
    <ds:schemaRef ds:uri="http://schemas.microsoft.com/sharepoint/v3/contenttype/forms"/>
  </ds:schemaRefs>
</ds:datastoreItem>
</file>

<file path=customXml/itemProps3.xml><?xml version="1.0" encoding="utf-8"?>
<ds:datastoreItem xmlns:ds="http://schemas.openxmlformats.org/officeDocument/2006/customXml" ds:itemID="{C8486986-1264-44FA-938A-71714B4D1E67}">
  <ds:schemaRefs>
    <ds:schemaRef ds:uri="http://purl.org/dc/dcmitype/"/>
    <ds:schemaRef ds:uri="http://schemas.openxmlformats.org/package/2006/metadata/core-properties"/>
    <ds:schemaRef ds:uri="http://schemas.microsoft.com/office/infopath/2007/PartnerControls"/>
    <ds:schemaRef ds:uri="http://schemas.microsoft.com/office/2006/documentManagement/types"/>
    <ds:schemaRef ds:uri="http://www.w3.org/XML/1998/namespace"/>
    <ds:schemaRef ds:uri="http://purl.org/dc/elements/1.1/"/>
    <ds:schemaRef ds:uri="10ff9da7-7829-4404-895b-418e8046d3d3"/>
    <ds:schemaRef ds:uri="ee538fcc-2ee6-431c-a7c7-45ae9a89989a"/>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9E1881F4-4581-463F-86D0-863ED8822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1350</Words>
  <Characters>7120</Characters>
  <Application>Microsoft Office Word</Application>
  <DocSecurity>0</DocSecurity>
  <Lines>158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Bardwell</dc:creator>
  <cp:lastModifiedBy>Michael Bardwell</cp:lastModifiedBy>
  <cp:revision>6</cp:revision>
  <cp:lastPrinted>2026-02-18T21:43:00Z</cp:lastPrinted>
  <dcterms:created xsi:type="dcterms:W3CDTF">2026-04-08T17:54:00Z</dcterms:created>
  <dcterms:modified xsi:type="dcterms:W3CDTF">2026-04-08T18:39:00Z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0x01010026D72E72DAECA94E95F9D13D0C953D32</vt:lpwstr>
  </property>
</Properties>
</file>